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D5D7" w14:textId="0C64518B" w:rsidR="00283B73" w:rsidRPr="00283B73" w:rsidRDefault="00283B73" w:rsidP="00CA7720">
      <w:pPr>
        <w:rPr>
          <w:rFonts w:ascii="Times New Roman" w:eastAsia="Times New Roman" w:hAnsi="Times New Roman" w:cs="Times New Roman"/>
          <w:lang w:eastAsia="zh-CN"/>
        </w:rPr>
      </w:pPr>
      <w:r w:rsidRPr="00283B73">
        <w:rPr>
          <w:rFonts w:ascii="Times New Roman" w:eastAsia="Times New Roman" w:hAnsi="Times New Roman" w:cs="Times New Roman"/>
          <w:noProof/>
          <w:lang w:eastAsia="zh-CN"/>
        </w:rPr>
        <w:drawing>
          <wp:anchor distT="0" distB="0" distL="114300" distR="114300" simplePos="0" relativeHeight="251658240" behindDoc="0" locked="0" layoutInCell="1" allowOverlap="1" wp14:anchorId="0EFB4919" wp14:editId="3233E647">
            <wp:simplePos x="0" y="0"/>
            <wp:positionH relativeFrom="column">
              <wp:posOffset>3978703</wp:posOffset>
            </wp:positionH>
            <wp:positionV relativeFrom="paragraph">
              <wp:posOffset>163830</wp:posOffset>
            </wp:positionV>
            <wp:extent cx="1823085" cy="527685"/>
            <wp:effectExtent l="0" t="0" r="5715" b="5715"/>
            <wp:wrapTight wrapText="bothSides">
              <wp:wrapPolygon edited="0">
                <wp:start x="17154" y="0"/>
                <wp:lineTo x="17154" y="8318"/>
                <wp:lineTo x="0" y="15596"/>
                <wp:lineTo x="0" y="21314"/>
                <wp:lineTo x="21517" y="21314"/>
                <wp:lineTo x="21517" y="0"/>
                <wp:lineTo x="17154" y="0"/>
              </wp:wrapPolygon>
            </wp:wrapTight>
            <wp:docPr id="3" name="Picture 3" descr="mage result for university of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university of leed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308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23DF">
        <w:rPr>
          <w:rFonts w:eastAsia="Times New Roman"/>
          <w:noProof/>
          <w:lang w:eastAsia="zh-CN"/>
        </w:rPr>
        <w:drawing>
          <wp:inline distT="0" distB="0" distL="0" distR="0" wp14:anchorId="7F990454" wp14:editId="038AC7C4">
            <wp:extent cx="1994796" cy="802640"/>
            <wp:effectExtent l="0" t="0" r="1206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CAN_logo .png"/>
                    <pic:cNvPicPr/>
                  </pic:nvPicPr>
                  <pic:blipFill>
                    <a:blip r:embed="rId8">
                      <a:extLst>
                        <a:ext uri="{28A0092B-C50C-407E-A947-70E740481C1C}">
                          <a14:useLocalDpi xmlns:a14="http://schemas.microsoft.com/office/drawing/2010/main" val="0"/>
                        </a:ext>
                      </a:extLst>
                    </a:blip>
                    <a:stretch>
                      <a:fillRect/>
                    </a:stretch>
                  </pic:blipFill>
                  <pic:spPr>
                    <a:xfrm>
                      <a:off x="0" y="0"/>
                      <a:ext cx="1996496" cy="803324"/>
                    </a:xfrm>
                    <a:prstGeom prst="rect">
                      <a:avLst/>
                    </a:prstGeom>
                  </pic:spPr>
                </pic:pic>
              </a:graphicData>
            </a:graphic>
          </wp:inline>
        </w:drawing>
      </w:r>
      <w:r w:rsidRPr="00283B73">
        <w:rPr>
          <w:rFonts w:eastAsia="Times New Roman"/>
        </w:rPr>
        <w:t xml:space="preserve"> </w:t>
      </w:r>
    </w:p>
    <w:p w14:paraId="2B381A71" w14:textId="7B6C0DA9" w:rsidR="003F6E2E" w:rsidRPr="00CC44A2" w:rsidRDefault="003F6E2E" w:rsidP="00CC44A2">
      <w:pPr>
        <w:rPr>
          <w:sz w:val="22"/>
          <w:szCs w:val="22"/>
        </w:rPr>
      </w:pPr>
    </w:p>
    <w:p w14:paraId="78E26812" w14:textId="6777DE65" w:rsidR="003F6E2E" w:rsidRPr="00CC44A2" w:rsidRDefault="003F6E2E" w:rsidP="003F6E2E">
      <w:pPr>
        <w:jc w:val="center"/>
        <w:rPr>
          <w:rFonts w:eastAsiaTheme="majorEastAsia" w:cstheme="majorBidi"/>
          <w:color w:val="2E74B5" w:themeColor="accent1" w:themeShade="BF"/>
          <w:sz w:val="22"/>
          <w:szCs w:val="22"/>
        </w:rPr>
      </w:pPr>
    </w:p>
    <w:p w14:paraId="3BAC8D41" w14:textId="05815F14" w:rsidR="003F6E2E" w:rsidRPr="00CC44A2" w:rsidRDefault="003F6E2E" w:rsidP="003F6E2E">
      <w:pPr>
        <w:jc w:val="center"/>
        <w:rPr>
          <w:rFonts w:eastAsiaTheme="majorEastAsia" w:cstheme="majorBidi"/>
          <w:color w:val="2E74B5" w:themeColor="accent1" w:themeShade="BF"/>
          <w:sz w:val="22"/>
          <w:szCs w:val="22"/>
        </w:rPr>
      </w:pPr>
    </w:p>
    <w:p w14:paraId="4016EF61" w14:textId="0B1F5251" w:rsidR="003F6E2E" w:rsidRPr="00CC44A2" w:rsidRDefault="003F6E2E" w:rsidP="003F6E2E">
      <w:pPr>
        <w:jc w:val="center"/>
        <w:rPr>
          <w:rFonts w:eastAsiaTheme="majorEastAsia" w:cstheme="majorBidi"/>
          <w:color w:val="2E74B5" w:themeColor="accent1" w:themeShade="BF"/>
          <w:sz w:val="22"/>
          <w:szCs w:val="22"/>
        </w:rPr>
      </w:pPr>
    </w:p>
    <w:p w14:paraId="16406DE8" w14:textId="2BCDE432" w:rsidR="003F6E2E" w:rsidRDefault="003F6E2E" w:rsidP="00CC44A2">
      <w:pPr>
        <w:jc w:val="center"/>
        <w:rPr>
          <w:rFonts w:eastAsiaTheme="majorEastAsia" w:cstheme="majorBidi"/>
          <w:color w:val="2E74B5" w:themeColor="accent1" w:themeShade="BF"/>
          <w:sz w:val="22"/>
          <w:szCs w:val="22"/>
        </w:rPr>
      </w:pPr>
    </w:p>
    <w:p w14:paraId="14B80C50" w14:textId="73BD0ABD" w:rsidR="009237C2" w:rsidRDefault="009237C2" w:rsidP="00CC44A2">
      <w:pPr>
        <w:jc w:val="center"/>
        <w:rPr>
          <w:rFonts w:eastAsiaTheme="majorEastAsia" w:cstheme="majorBidi"/>
          <w:color w:val="2E74B5" w:themeColor="accent1" w:themeShade="BF"/>
          <w:sz w:val="22"/>
          <w:szCs w:val="22"/>
        </w:rPr>
      </w:pPr>
    </w:p>
    <w:p w14:paraId="3651DEE9" w14:textId="77777777" w:rsidR="009237C2" w:rsidRPr="00CC44A2" w:rsidRDefault="009237C2" w:rsidP="00CC44A2">
      <w:pPr>
        <w:jc w:val="center"/>
        <w:rPr>
          <w:rFonts w:eastAsiaTheme="majorEastAsia" w:cstheme="majorBidi"/>
          <w:color w:val="2E74B5" w:themeColor="accent1" w:themeShade="BF"/>
          <w:sz w:val="22"/>
          <w:szCs w:val="22"/>
        </w:rPr>
      </w:pPr>
    </w:p>
    <w:p w14:paraId="45673069" w14:textId="77777777" w:rsidR="00E26FF9" w:rsidRDefault="00E26FF9" w:rsidP="007F2860">
      <w:pPr>
        <w:pStyle w:val="Heading1"/>
        <w:spacing w:before="0"/>
        <w:jc w:val="center"/>
        <w:rPr>
          <w:rFonts w:asciiTheme="minorHAnsi" w:hAnsiTheme="minorHAnsi"/>
        </w:rPr>
      </w:pPr>
    </w:p>
    <w:p w14:paraId="403A69E8" w14:textId="173112C3" w:rsidR="00752E1D" w:rsidRPr="0066590C" w:rsidRDefault="00752E1D" w:rsidP="00752E1D">
      <w:pPr>
        <w:pStyle w:val="Heading1"/>
        <w:spacing w:before="0"/>
        <w:jc w:val="center"/>
        <w:rPr>
          <w:rFonts w:asciiTheme="minorHAnsi" w:hAnsiTheme="minorHAnsi"/>
        </w:rPr>
      </w:pPr>
      <w:r>
        <w:rPr>
          <w:rFonts w:asciiTheme="minorHAnsi" w:hAnsiTheme="minorHAnsi"/>
        </w:rPr>
        <w:t>A s</w:t>
      </w:r>
      <w:r w:rsidR="00B87C1B" w:rsidRPr="00CC44A2">
        <w:rPr>
          <w:rFonts w:asciiTheme="minorHAnsi" w:hAnsiTheme="minorHAnsi"/>
        </w:rPr>
        <w:t xml:space="preserve">ummary carbon </w:t>
      </w:r>
      <w:r>
        <w:rPr>
          <w:rFonts w:asciiTheme="minorHAnsi" w:hAnsiTheme="minorHAnsi"/>
        </w:rPr>
        <w:t xml:space="preserve">roadmap </w:t>
      </w:r>
      <w:r w:rsidRPr="0066590C">
        <w:rPr>
          <w:rFonts w:asciiTheme="minorHAnsi" w:hAnsiTheme="minorHAnsi"/>
        </w:rPr>
        <w:t xml:space="preserve">for </w:t>
      </w:r>
      <w:r w:rsidR="00A8563D" w:rsidRPr="0066590C">
        <w:rPr>
          <w:rFonts w:asciiTheme="minorHAnsi" w:hAnsiTheme="minorHAnsi"/>
        </w:rPr>
        <w:t>Yorkshire and Humber</w:t>
      </w:r>
    </w:p>
    <w:p w14:paraId="0D546A1D" w14:textId="56F6F74E" w:rsidR="003F6E2E" w:rsidRPr="0066590C" w:rsidRDefault="003F6E2E" w:rsidP="007F2860">
      <w:pPr>
        <w:pStyle w:val="Heading1"/>
        <w:spacing w:before="0"/>
        <w:jc w:val="center"/>
        <w:rPr>
          <w:rFonts w:asciiTheme="minorHAnsi" w:hAnsiTheme="minorHAnsi"/>
        </w:rPr>
      </w:pPr>
      <w:r w:rsidRPr="0066590C">
        <w:rPr>
          <w:rFonts w:asciiTheme="minorHAnsi" w:hAnsiTheme="minorHAnsi"/>
        </w:rPr>
        <w:t xml:space="preserve"> </w:t>
      </w:r>
    </w:p>
    <w:p w14:paraId="2C2D62FB" w14:textId="77777777" w:rsidR="007F2860" w:rsidRPr="0066590C" w:rsidRDefault="007F2860" w:rsidP="00152304">
      <w:pPr>
        <w:rPr>
          <w:sz w:val="22"/>
          <w:szCs w:val="22"/>
        </w:rPr>
      </w:pPr>
    </w:p>
    <w:p w14:paraId="433D856B" w14:textId="22C9388F" w:rsidR="003F6E2E" w:rsidRPr="0066590C" w:rsidRDefault="003F6E2E" w:rsidP="00152304">
      <w:pPr>
        <w:rPr>
          <w:sz w:val="22"/>
          <w:szCs w:val="22"/>
        </w:rPr>
      </w:pPr>
    </w:p>
    <w:p w14:paraId="1C8B9CB8" w14:textId="3307FF5C" w:rsidR="007F2860" w:rsidRPr="0066590C" w:rsidRDefault="007F2860" w:rsidP="00152304">
      <w:pPr>
        <w:rPr>
          <w:sz w:val="22"/>
          <w:szCs w:val="22"/>
        </w:rPr>
      </w:pPr>
    </w:p>
    <w:p w14:paraId="54DC2EF5" w14:textId="228750DC" w:rsidR="007F2860" w:rsidRPr="0066590C" w:rsidRDefault="007F2860" w:rsidP="00152304">
      <w:pPr>
        <w:rPr>
          <w:sz w:val="22"/>
          <w:szCs w:val="22"/>
        </w:rPr>
      </w:pPr>
    </w:p>
    <w:p w14:paraId="3C35DD1E" w14:textId="77777777" w:rsidR="00033B88" w:rsidRPr="0066590C" w:rsidRDefault="00033B88" w:rsidP="00152304">
      <w:pPr>
        <w:rPr>
          <w:sz w:val="22"/>
          <w:szCs w:val="22"/>
        </w:rPr>
      </w:pPr>
    </w:p>
    <w:p w14:paraId="2838F2F8" w14:textId="77777777" w:rsidR="009237C2" w:rsidRPr="0066590C" w:rsidRDefault="009237C2" w:rsidP="00152304">
      <w:pPr>
        <w:rPr>
          <w:sz w:val="22"/>
          <w:szCs w:val="22"/>
        </w:rPr>
      </w:pPr>
    </w:p>
    <w:p w14:paraId="0B21BEFA" w14:textId="77777777" w:rsidR="00DA1400" w:rsidRPr="0066590C" w:rsidRDefault="00DA1400" w:rsidP="00152304">
      <w:pPr>
        <w:rPr>
          <w:sz w:val="22"/>
          <w:szCs w:val="22"/>
        </w:rPr>
      </w:pPr>
    </w:p>
    <w:p w14:paraId="5D311A7F" w14:textId="77777777" w:rsidR="003F6E2E" w:rsidRPr="0066590C" w:rsidRDefault="003F6E2E" w:rsidP="00152304">
      <w:pPr>
        <w:rPr>
          <w:sz w:val="22"/>
          <w:szCs w:val="22"/>
        </w:rPr>
      </w:pPr>
    </w:p>
    <w:p w14:paraId="151CEAE2" w14:textId="77777777" w:rsidR="00B87C1B" w:rsidRPr="0066590C" w:rsidRDefault="00B87C1B" w:rsidP="00B87C1B">
      <w:pPr>
        <w:jc w:val="center"/>
        <w:rPr>
          <w:sz w:val="22"/>
          <w:szCs w:val="22"/>
        </w:rPr>
      </w:pPr>
      <w:r w:rsidRPr="0066590C">
        <w:rPr>
          <w:sz w:val="22"/>
          <w:szCs w:val="22"/>
        </w:rPr>
        <w:t xml:space="preserve">Andy Gouldson, Andrew </w:t>
      </w:r>
      <w:proofErr w:type="spellStart"/>
      <w:r w:rsidRPr="0066590C">
        <w:rPr>
          <w:sz w:val="22"/>
          <w:szCs w:val="22"/>
        </w:rPr>
        <w:t>Sudmant</w:t>
      </w:r>
      <w:proofErr w:type="spellEnd"/>
      <w:r w:rsidRPr="0066590C">
        <w:rPr>
          <w:sz w:val="22"/>
          <w:szCs w:val="22"/>
        </w:rPr>
        <w:t xml:space="preserve"> and Millie Duncan</w:t>
      </w:r>
    </w:p>
    <w:p w14:paraId="345E255C" w14:textId="25A1C152" w:rsidR="00152304" w:rsidRPr="0066590C" w:rsidRDefault="00152304" w:rsidP="00152304">
      <w:pPr>
        <w:jc w:val="center"/>
        <w:rPr>
          <w:sz w:val="22"/>
          <w:szCs w:val="22"/>
        </w:rPr>
      </w:pPr>
      <w:r w:rsidRPr="0066590C">
        <w:rPr>
          <w:sz w:val="22"/>
          <w:szCs w:val="22"/>
        </w:rPr>
        <w:t>University of Leeds</w:t>
      </w:r>
    </w:p>
    <w:p w14:paraId="49821EE9" w14:textId="121187D6" w:rsidR="00ED08B2" w:rsidRPr="0066590C" w:rsidRDefault="00481E1A" w:rsidP="00152304">
      <w:pPr>
        <w:jc w:val="center"/>
        <w:rPr>
          <w:sz w:val="22"/>
          <w:szCs w:val="22"/>
        </w:rPr>
      </w:pPr>
      <w:hyperlink r:id="rId9" w:history="1">
        <w:r w:rsidR="003F6E2E" w:rsidRPr="0066590C">
          <w:rPr>
            <w:rStyle w:val="Hyperlink"/>
            <w:sz w:val="22"/>
            <w:szCs w:val="22"/>
          </w:rPr>
          <w:t>a.gouldson@leeds.ac.uk</w:t>
        </w:r>
      </w:hyperlink>
    </w:p>
    <w:p w14:paraId="4594CDBF" w14:textId="051C329C" w:rsidR="007F2860" w:rsidRPr="0066590C" w:rsidRDefault="007F2860" w:rsidP="00152304">
      <w:pPr>
        <w:jc w:val="center"/>
        <w:rPr>
          <w:i/>
          <w:sz w:val="22"/>
          <w:szCs w:val="22"/>
        </w:rPr>
      </w:pPr>
    </w:p>
    <w:p w14:paraId="25CE456B" w14:textId="7549DCEE" w:rsidR="007F2860" w:rsidRPr="0066590C" w:rsidRDefault="007F2860" w:rsidP="00152304">
      <w:pPr>
        <w:jc w:val="center"/>
        <w:rPr>
          <w:i/>
          <w:sz w:val="22"/>
          <w:szCs w:val="22"/>
        </w:rPr>
      </w:pPr>
    </w:p>
    <w:p w14:paraId="2DAD861B" w14:textId="55809ABA" w:rsidR="007F2860" w:rsidRPr="0066590C" w:rsidRDefault="007F2860" w:rsidP="00152304">
      <w:pPr>
        <w:jc w:val="center"/>
        <w:rPr>
          <w:i/>
          <w:sz w:val="22"/>
          <w:szCs w:val="22"/>
        </w:rPr>
      </w:pPr>
    </w:p>
    <w:p w14:paraId="41BCB214" w14:textId="7F08814E" w:rsidR="00033B88" w:rsidRPr="0066590C" w:rsidRDefault="00033B88" w:rsidP="00152304">
      <w:pPr>
        <w:jc w:val="center"/>
        <w:rPr>
          <w:i/>
          <w:sz w:val="22"/>
          <w:szCs w:val="22"/>
        </w:rPr>
      </w:pPr>
    </w:p>
    <w:p w14:paraId="04557797" w14:textId="7DE159FF" w:rsidR="00033B88" w:rsidRPr="0066590C" w:rsidRDefault="00033B88" w:rsidP="00152304">
      <w:pPr>
        <w:jc w:val="center"/>
        <w:rPr>
          <w:i/>
          <w:sz w:val="22"/>
          <w:szCs w:val="22"/>
        </w:rPr>
      </w:pPr>
    </w:p>
    <w:p w14:paraId="4946852C" w14:textId="77777777" w:rsidR="009237C2" w:rsidRPr="0066590C" w:rsidRDefault="009237C2" w:rsidP="00152304">
      <w:pPr>
        <w:jc w:val="center"/>
        <w:rPr>
          <w:i/>
          <w:sz w:val="22"/>
          <w:szCs w:val="22"/>
        </w:rPr>
      </w:pPr>
    </w:p>
    <w:p w14:paraId="56DD113D" w14:textId="77777777" w:rsidR="007F2860" w:rsidRPr="0066590C" w:rsidRDefault="007F2860" w:rsidP="00152304">
      <w:pPr>
        <w:jc w:val="center"/>
        <w:rPr>
          <w:i/>
          <w:sz w:val="22"/>
          <w:szCs w:val="22"/>
        </w:rPr>
      </w:pPr>
    </w:p>
    <w:p w14:paraId="0364E477" w14:textId="73909780" w:rsidR="003F6E2E" w:rsidRPr="0066590C" w:rsidRDefault="003F6E2E" w:rsidP="00152304">
      <w:pPr>
        <w:jc w:val="center"/>
        <w:rPr>
          <w:i/>
          <w:sz w:val="22"/>
          <w:szCs w:val="22"/>
        </w:rPr>
      </w:pPr>
      <w:r w:rsidRPr="0066590C">
        <w:rPr>
          <w:i/>
          <w:sz w:val="22"/>
          <w:szCs w:val="22"/>
        </w:rPr>
        <w:t>www.pcancities.org</w:t>
      </w:r>
      <w:r w:rsidR="002E7AE2">
        <w:rPr>
          <w:i/>
          <w:sz w:val="22"/>
          <w:szCs w:val="22"/>
        </w:rPr>
        <w:t>.uk</w:t>
      </w:r>
    </w:p>
    <w:p w14:paraId="6E69E899" w14:textId="77777777" w:rsidR="005E611F" w:rsidRPr="0066590C" w:rsidRDefault="005E611F" w:rsidP="005E611F">
      <w:pPr>
        <w:jc w:val="center"/>
        <w:rPr>
          <w:rFonts w:eastAsia="Times New Roman" w:cs="Times New Roman"/>
          <w:color w:val="000000" w:themeColor="text1"/>
          <w:sz w:val="21"/>
          <w:szCs w:val="21"/>
          <w:lang w:eastAsia="zh-CN"/>
        </w:rPr>
      </w:pPr>
    </w:p>
    <w:p w14:paraId="342AF0F0" w14:textId="10A20489" w:rsidR="005E611F" w:rsidRPr="005E611F" w:rsidRDefault="005E611F" w:rsidP="005E611F">
      <w:pPr>
        <w:jc w:val="center"/>
        <w:rPr>
          <w:rFonts w:eastAsia="Times New Roman"/>
          <w:color w:val="000000" w:themeColor="text1"/>
          <w:sz w:val="20"/>
          <w:szCs w:val="20"/>
          <w:lang w:eastAsia="zh-CN"/>
        </w:rPr>
      </w:pPr>
      <w:r w:rsidRPr="0066590C">
        <w:rPr>
          <w:rFonts w:eastAsia="Times New Roman" w:cs="Times New Roman"/>
          <w:color w:val="000000" w:themeColor="text1"/>
          <w:sz w:val="20"/>
          <w:szCs w:val="20"/>
          <w:lang w:eastAsia="zh-CN"/>
        </w:rPr>
        <w:t>Please reference as: Gouldson,</w:t>
      </w:r>
      <w:r w:rsidR="00A03FE0">
        <w:rPr>
          <w:rFonts w:eastAsia="Times New Roman" w:cs="Times New Roman"/>
          <w:color w:val="000000" w:themeColor="text1"/>
          <w:sz w:val="20"/>
          <w:szCs w:val="20"/>
          <w:lang w:eastAsia="zh-CN"/>
        </w:rPr>
        <w:t xml:space="preserve"> A. </w:t>
      </w:r>
      <w:proofErr w:type="spellStart"/>
      <w:r w:rsidR="00A03FE0">
        <w:rPr>
          <w:rFonts w:eastAsia="Times New Roman" w:cs="Times New Roman"/>
          <w:color w:val="000000" w:themeColor="text1"/>
          <w:sz w:val="20"/>
          <w:szCs w:val="20"/>
          <w:lang w:eastAsia="zh-CN"/>
        </w:rPr>
        <w:t>Sudmant</w:t>
      </w:r>
      <w:proofErr w:type="spellEnd"/>
      <w:r w:rsidR="00A03FE0">
        <w:rPr>
          <w:rFonts w:eastAsia="Times New Roman" w:cs="Times New Roman"/>
          <w:color w:val="000000" w:themeColor="text1"/>
          <w:sz w:val="20"/>
          <w:szCs w:val="20"/>
          <w:lang w:eastAsia="zh-CN"/>
        </w:rPr>
        <w:t>, A. Duncan, A. (2020</w:t>
      </w:r>
      <w:r w:rsidRPr="0066590C">
        <w:rPr>
          <w:rFonts w:eastAsia="Times New Roman" w:cs="Times New Roman"/>
          <w:color w:val="000000" w:themeColor="text1"/>
          <w:sz w:val="20"/>
          <w:szCs w:val="20"/>
          <w:lang w:eastAsia="zh-CN"/>
        </w:rPr>
        <w:t xml:space="preserve">). “A summary carbon roadmap for </w:t>
      </w:r>
      <w:r w:rsidR="00F815B7" w:rsidRPr="0066590C">
        <w:rPr>
          <w:rFonts w:eastAsia="Times New Roman" w:cs="Times New Roman"/>
          <w:color w:val="000000" w:themeColor="text1"/>
          <w:sz w:val="20"/>
          <w:szCs w:val="20"/>
          <w:lang w:eastAsia="zh-CN"/>
        </w:rPr>
        <w:t>Yorkshire and Humber</w:t>
      </w:r>
      <w:r w:rsidRPr="0066590C">
        <w:rPr>
          <w:rFonts w:eastAsia="Times New Roman" w:cs="Times New Roman"/>
          <w:color w:val="000000" w:themeColor="text1"/>
          <w:sz w:val="20"/>
          <w:szCs w:val="20"/>
          <w:lang w:eastAsia="zh-CN"/>
        </w:rPr>
        <w:t xml:space="preserve">”. Place-based Climate Action Network, </w:t>
      </w:r>
      <w:hyperlink r:id="rId10" w:history="1">
        <w:r w:rsidRPr="0066590C">
          <w:rPr>
            <w:rStyle w:val="Hyperlink"/>
            <w:rFonts w:eastAsia="Times New Roman"/>
            <w:color w:val="000000" w:themeColor="text1"/>
            <w:sz w:val="20"/>
            <w:szCs w:val="20"/>
            <w:u w:val="none"/>
          </w:rPr>
          <w:t>https://pcancities.org.uk/</w:t>
        </w:r>
      </w:hyperlink>
    </w:p>
    <w:p w14:paraId="7097DDCC" w14:textId="77777777" w:rsidR="003F6E2E" w:rsidRPr="00CC44A2" w:rsidRDefault="003F6E2E" w:rsidP="00152304">
      <w:pPr>
        <w:jc w:val="center"/>
        <w:rPr>
          <w:i/>
          <w:sz w:val="22"/>
          <w:szCs w:val="22"/>
        </w:rPr>
      </w:pPr>
      <w:bookmarkStart w:id="0" w:name="_GoBack"/>
      <w:bookmarkEnd w:id="0"/>
    </w:p>
    <w:p w14:paraId="229F5B19" w14:textId="72BE64B7" w:rsidR="00152304" w:rsidRPr="00DD2F9F" w:rsidRDefault="007F2860" w:rsidP="00152304">
      <w:pPr>
        <w:rPr>
          <w:i/>
          <w:sz w:val="22"/>
          <w:szCs w:val="22"/>
        </w:rPr>
      </w:pPr>
      <w:r w:rsidRPr="00CC44A2">
        <w:rPr>
          <w:i/>
          <w:sz w:val="22"/>
          <w:szCs w:val="22"/>
        </w:rPr>
        <w:br w:type="page"/>
      </w:r>
    </w:p>
    <w:p w14:paraId="7807853D" w14:textId="122056D0" w:rsidR="000F0EE0" w:rsidRPr="00EB744B" w:rsidRDefault="000F0EE0" w:rsidP="00152304">
      <w:pPr>
        <w:pStyle w:val="Heading2"/>
        <w:rPr>
          <w:rFonts w:asciiTheme="minorHAnsi" w:hAnsiTheme="minorHAnsi"/>
          <w:b/>
          <w:sz w:val="22"/>
          <w:szCs w:val="22"/>
        </w:rPr>
      </w:pPr>
      <w:r w:rsidRPr="00EB744B">
        <w:rPr>
          <w:rFonts w:asciiTheme="minorHAnsi" w:hAnsiTheme="minorHAnsi"/>
          <w:b/>
          <w:sz w:val="22"/>
          <w:szCs w:val="22"/>
        </w:rPr>
        <w:lastRenderedPageBreak/>
        <w:t>Highlights</w:t>
      </w:r>
    </w:p>
    <w:p w14:paraId="7DAF2D12" w14:textId="4460FEA1" w:rsidR="000F0EE0" w:rsidRPr="00EB744B" w:rsidRDefault="000F0EE0" w:rsidP="000F0EE0">
      <w:pPr>
        <w:rPr>
          <w:sz w:val="22"/>
          <w:szCs w:val="22"/>
        </w:rPr>
      </w:pPr>
    </w:p>
    <w:p w14:paraId="40AA7E33" w14:textId="3EFBD5FA" w:rsidR="006E1295" w:rsidRPr="00EB744B" w:rsidRDefault="009C35F8" w:rsidP="000F0EE0">
      <w:pPr>
        <w:pStyle w:val="ListParagraph"/>
        <w:numPr>
          <w:ilvl w:val="0"/>
          <w:numId w:val="7"/>
        </w:numPr>
        <w:rPr>
          <w:sz w:val="22"/>
          <w:szCs w:val="22"/>
        </w:rPr>
      </w:pPr>
      <w:r w:rsidRPr="00EB744B">
        <w:rPr>
          <w:sz w:val="22"/>
          <w:szCs w:val="22"/>
        </w:rPr>
        <w:t>S</w:t>
      </w:r>
      <w:r w:rsidR="000F0EE0" w:rsidRPr="00EB744B">
        <w:rPr>
          <w:sz w:val="22"/>
          <w:szCs w:val="22"/>
        </w:rPr>
        <w:t>cientific evidence calls for rapid reductions in</w:t>
      </w:r>
      <w:r w:rsidR="00503AE5" w:rsidRPr="00EB744B">
        <w:rPr>
          <w:sz w:val="22"/>
          <w:szCs w:val="22"/>
        </w:rPr>
        <w:t xml:space="preserve"> global</w:t>
      </w:r>
      <w:r w:rsidR="000F0EE0" w:rsidRPr="00EB744B">
        <w:rPr>
          <w:sz w:val="22"/>
          <w:szCs w:val="22"/>
        </w:rPr>
        <w:t xml:space="preserve"> </w:t>
      </w:r>
      <w:r w:rsidR="006E1295" w:rsidRPr="00EB744B">
        <w:rPr>
          <w:sz w:val="22"/>
          <w:szCs w:val="22"/>
        </w:rPr>
        <w:t>carbon</w:t>
      </w:r>
      <w:r w:rsidR="006E1295" w:rsidRPr="00EB744B">
        <w:rPr>
          <w:rStyle w:val="FootnoteReference"/>
          <w:sz w:val="22"/>
          <w:szCs w:val="22"/>
        </w:rPr>
        <w:footnoteReference w:id="1"/>
      </w:r>
      <w:r w:rsidR="000F0EE0" w:rsidRPr="00EB744B">
        <w:rPr>
          <w:sz w:val="22"/>
          <w:szCs w:val="22"/>
        </w:rPr>
        <w:t xml:space="preserve"> emissions if</w:t>
      </w:r>
      <w:r w:rsidR="006E1295" w:rsidRPr="00EB744B">
        <w:rPr>
          <w:sz w:val="22"/>
          <w:szCs w:val="22"/>
        </w:rPr>
        <w:t xml:space="preserve"> </w:t>
      </w:r>
      <w:r w:rsidR="000F0EE0" w:rsidRPr="00EB744B">
        <w:rPr>
          <w:sz w:val="22"/>
          <w:szCs w:val="22"/>
        </w:rPr>
        <w:t xml:space="preserve">we </w:t>
      </w:r>
      <w:r w:rsidR="006E1295" w:rsidRPr="00EB744B">
        <w:rPr>
          <w:sz w:val="22"/>
          <w:szCs w:val="22"/>
        </w:rPr>
        <w:t xml:space="preserve">are </w:t>
      </w:r>
      <w:r w:rsidR="000F0EE0" w:rsidRPr="00EB744B">
        <w:rPr>
          <w:sz w:val="22"/>
          <w:szCs w:val="22"/>
        </w:rPr>
        <w:t xml:space="preserve">to limit average </w:t>
      </w:r>
      <w:r w:rsidR="006E1295" w:rsidRPr="00EB744B">
        <w:rPr>
          <w:sz w:val="22"/>
          <w:szCs w:val="22"/>
        </w:rPr>
        <w:t xml:space="preserve">levels of </w:t>
      </w:r>
      <w:r w:rsidR="000F0EE0" w:rsidRPr="00EB744B">
        <w:rPr>
          <w:sz w:val="22"/>
          <w:szCs w:val="22"/>
        </w:rPr>
        <w:t xml:space="preserve">warming to 1.5 degrees and so avoid the risks associated with dangerous </w:t>
      </w:r>
      <w:r w:rsidR="006E1295" w:rsidRPr="00EB744B">
        <w:rPr>
          <w:sz w:val="22"/>
          <w:szCs w:val="22"/>
        </w:rPr>
        <w:t xml:space="preserve">or runaway </w:t>
      </w:r>
      <w:r w:rsidR="000F0EE0" w:rsidRPr="00EB744B">
        <w:rPr>
          <w:sz w:val="22"/>
          <w:szCs w:val="22"/>
        </w:rPr>
        <w:t xml:space="preserve">climate change. </w:t>
      </w:r>
    </w:p>
    <w:p w14:paraId="0F7E70BE" w14:textId="77B00D3F" w:rsidR="006E1295" w:rsidRPr="00EB744B" w:rsidRDefault="000F0EE0" w:rsidP="006E1295">
      <w:pPr>
        <w:pStyle w:val="ListParagraph"/>
        <w:numPr>
          <w:ilvl w:val="0"/>
          <w:numId w:val="7"/>
        </w:numPr>
        <w:rPr>
          <w:sz w:val="22"/>
          <w:szCs w:val="22"/>
        </w:rPr>
      </w:pPr>
      <w:r w:rsidRPr="00EB744B">
        <w:rPr>
          <w:sz w:val="22"/>
          <w:szCs w:val="22"/>
        </w:rPr>
        <w:t xml:space="preserve">Globally, the IPCC suggests that we will have used up </w:t>
      </w:r>
      <w:r w:rsidR="007B6C98" w:rsidRPr="00EB744B">
        <w:rPr>
          <w:sz w:val="22"/>
          <w:szCs w:val="22"/>
        </w:rPr>
        <w:t>the</w:t>
      </w:r>
      <w:r w:rsidRPr="00EB744B">
        <w:rPr>
          <w:sz w:val="22"/>
          <w:szCs w:val="22"/>
        </w:rPr>
        <w:t xml:space="preserve"> global carbon budget </w:t>
      </w:r>
      <w:r w:rsidR="007B6C98" w:rsidRPr="00EB744B">
        <w:rPr>
          <w:sz w:val="22"/>
          <w:szCs w:val="22"/>
        </w:rPr>
        <w:t xml:space="preserve">that gives us a good chance of </w:t>
      </w:r>
      <w:r w:rsidR="00503AE5" w:rsidRPr="00EB744B">
        <w:rPr>
          <w:sz w:val="22"/>
          <w:szCs w:val="22"/>
        </w:rPr>
        <w:t xml:space="preserve">limiting warming to 1.5 degrees </w:t>
      </w:r>
      <w:r w:rsidRPr="00EB744B">
        <w:rPr>
          <w:sz w:val="22"/>
          <w:szCs w:val="22"/>
        </w:rPr>
        <w:t xml:space="preserve">within a decade. </w:t>
      </w:r>
      <w:r w:rsidR="006E1295" w:rsidRPr="00EB744B">
        <w:rPr>
          <w:sz w:val="22"/>
          <w:szCs w:val="22"/>
        </w:rPr>
        <w:t>This science underpins calls for the declaration of a climate emergency.</w:t>
      </w:r>
    </w:p>
    <w:p w14:paraId="014C43A2" w14:textId="3E68A7C1" w:rsidR="000F0EE0" w:rsidRPr="00450B8C" w:rsidRDefault="006E1295" w:rsidP="00F12E6E">
      <w:pPr>
        <w:pStyle w:val="ListParagraph"/>
        <w:numPr>
          <w:ilvl w:val="0"/>
          <w:numId w:val="7"/>
        </w:numPr>
        <w:rPr>
          <w:sz w:val="22"/>
          <w:szCs w:val="22"/>
        </w:rPr>
      </w:pPr>
      <w:r w:rsidRPr="00EB744B">
        <w:rPr>
          <w:sz w:val="22"/>
          <w:szCs w:val="22"/>
        </w:rPr>
        <w:t xml:space="preserve">Dividing the global carbon budget up by population </w:t>
      </w:r>
      <w:r w:rsidRPr="0066590C">
        <w:rPr>
          <w:sz w:val="22"/>
          <w:szCs w:val="22"/>
        </w:rPr>
        <w:t xml:space="preserve">gives </w:t>
      </w:r>
      <w:r w:rsidR="00F815B7" w:rsidRPr="0066590C">
        <w:rPr>
          <w:rFonts w:eastAsia="Times New Roman" w:cs="Times New Roman"/>
          <w:color w:val="000000" w:themeColor="text1"/>
          <w:sz w:val="22"/>
          <w:szCs w:val="22"/>
          <w:lang w:eastAsia="zh-CN"/>
        </w:rPr>
        <w:t>Yorkshire and Humber</w:t>
      </w:r>
      <w:r w:rsidRPr="0066590C">
        <w:rPr>
          <w:sz w:val="22"/>
          <w:szCs w:val="22"/>
        </w:rPr>
        <w:t xml:space="preserve"> a total</w:t>
      </w:r>
      <w:r w:rsidRPr="00EB744B">
        <w:rPr>
          <w:sz w:val="22"/>
          <w:szCs w:val="22"/>
        </w:rPr>
        <w:t xml:space="preserve"> carbon budget of</w:t>
      </w:r>
      <w:r w:rsidR="000F0EE0" w:rsidRPr="00EB744B">
        <w:rPr>
          <w:sz w:val="22"/>
          <w:szCs w:val="22"/>
        </w:rPr>
        <w:t xml:space="preserve"> </w:t>
      </w:r>
      <w:r w:rsidR="0066590C">
        <w:rPr>
          <w:sz w:val="22"/>
          <w:szCs w:val="22"/>
        </w:rPr>
        <w:t>244</w:t>
      </w:r>
      <w:r w:rsidR="000F0EE0" w:rsidRPr="00EB744B">
        <w:rPr>
          <w:sz w:val="22"/>
          <w:szCs w:val="22"/>
        </w:rPr>
        <w:t xml:space="preserve"> million tonnes</w:t>
      </w:r>
      <w:r w:rsidRPr="00EB744B">
        <w:rPr>
          <w:sz w:val="22"/>
          <w:szCs w:val="22"/>
        </w:rPr>
        <w:t xml:space="preserve"> </w:t>
      </w:r>
      <w:r w:rsidR="000F0EE0" w:rsidRPr="00EB744B">
        <w:rPr>
          <w:sz w:val="22"/>
          <w:szCs w:val="22"/>
        </w:rPr>
        <w:t xml:space="preserve">from 2020. </w:t>
      </w:r>
      <w:r w:rsidR="004E4EF5" w:rsidRPr="00EB744B">
        <w:rPr>
          <w:sz w:val="22"/>
          <w:szCs w:val="22"/>
        </w:rPr>
        <w:t>Based only on the fuel and electricity used</w:t>
      </w:r>
      <w:r w:rsidR="009C35F8" w:rsidRPr="00EB744B">
        <w:rPr>
          <w:sz w:val="22"/>
          <w:szCs w:val="22"/>
        </w:rPr>
        <w:t xml:space="preserve"> within its bounda</w:t>
      </w:r>
      <w:r w:rsidR="009C35F8" w:rsidRPr="0066590C">
        <w:rPr>
          <w:sz w:val="22"/>
          <w:szCs w:val="22"/>
        </w:rPr>
        <w:t>ries</w:t>
      </w:r>
      <w:r w:rsidR="004E4EF5" w:rsidRPr="0066590C">
        <w:rPr>
          <w:sz w:val="22"/>
          <w:szCs w:val="22"/>
        </w:rPr>
        <w:t xml:space="preserve">, </w:t>
      </w:r>
      <w:r w:rsidR="00F815B7" w:rsidRPr="0066590C">
        <w:rPr>
          <w:rFonts w:eastAsia="Times New Roman" w:cs="Times New Roman"/>
          <w:color w:val="000000" w:themeColor="text1"/>
          <w:sz w:val="22"/>
          <w:szCs w:val="22"/>
          <w:lang w:eastAsia="zh-CN"/>
        </w:rPr>
        <w:t>Yorkshire and Humber</w:t>
      </w:r>
      <w:r w:rsidRPr="0066590C">
        <w:rPr>
          <w:sz w:val="22"/>
          <w:szCs w:val="22"/>
        </w:rPr>
        <w:t xml:space="preserve"> </w:t>
      </w:r>
      <w:r w:rsidR="004E4EF5" w:rsidRPr="0066590C">
        <w:rPr>
          <w:sz w:val="22"/>
          <w:szCs w:val="22"/>
        </w:rPr>
        <w:t xml:space="preserve">currently </w:t>
      </w:r>
      <w:r w:rsidRPr="0066590C">
        <w:rPr>
          <w:sz w:val="22"/>
          <w:szCs w:val="22"/>
        </w:rPr>
        <w:t>emits c</w:t>
      </w:r>
      <w:r w:rsidR="00503AE5" w:rsidRPr="0066590C">
        <w:rPr>
          <w:sz w:val="22"/>
          <w:szCs w:val="22"/>
        </w:rPr>
        <w:t>.</w:t>
      </w:r>
      <w:r w:rsidR="0066590C" w:rsidRPr="0066590C">
        <w:rPr>
          <w:sz w:val="22"/>
          <w:szCs w:val="22"/>
        </w:rPr>
        <w:t>47</w:t>
      </w:r>
      <w:r w:rsidRPr="0066590C">
        <w:rPr>
          <w:sz w:val="22"/>
          <w:szCs w:val="22"/>
        </w:rPr>
        <w:t xml:space="preserve"> million tonnes of</w:t>
      </w:r>
      <w:r w:rsidR="007903BD" w:rsidRPr="0066590C">
        <w:rPr>
          <w:sz w:val="22"/>
          <w:szCs w:val="22"/>
        </w:rPr>
        <w:t xml:space="preserve"> carbon</w:t>
      </w:r>
      <w:r w:rsidRPr="0066590C">
        <w:rPr>
          <w:sz w:val="22"/>
          <w:szCs w:val="22"/>
        </w:rPr>
        <w:t xml:space="preserve"> a year, meaning </w:t>
      </w:r>
      <w:r w:rsidRPr="00450B8C">
        <w:rPr>
          <w:sz w:val="22"/>
          <w:szCs w:val="22"/>
        </w:rPr>
        <w:t xml:space="preserve">that it would </w:t>
      </w:r>
      <w:r w:rsidR="000F0EE0" w:rsidRPr="00450B8C">
        <w:rPr>
          <w:sz w:val="22"/>
          <w:szCs w:val="22"/>
        </w:rPr>
        <w:t xml:space="preserve">use up </w:t>
      </w:r>
      <w:r w:rsidRPr="00450B8C">
        <w:rPr>
          <w:sz w:val="22"/>
          <w:szCs w:val="22"/>
        </w:rPr>
        <w:t>its carbon</w:t>
      </w:r>
      <w:r w:rsidR="000F0EE0" w:rsidRPr="00450B8C">
        <w:rPr>
          <w:sz w:val="22"/>
          <w:szCs w:val="22"/>
        </w:rPr>
        <w:t xml:space="preserve"> budget in just over </w:t>
      </w:r>
      <w:r w:rsidR="0066590C" w:rsidRPr="00450B8C">
        <w:rPr>
          <w:sz w:val="22"/>
          <w:szCs w:val="22"/>
        </w:rPr>
        <w:t>5</w:t>
      </w:r>
      <w:r w:rsidR="000F0EE0" w:rsidRPr="00450B8C">
        <w:rPr>
          <w:sz w:val="22"/>
          <w:szCs w:val="22"/>
        </w:rPr>
        <w:t xml:space="preserve"> years.</w:t>
      </w:r>
    </w:p>
    <w:p w14:paraId="350692E3" w14:textId="2FF66CDF" w:rsidR="000F0EE0" w:rsidRPr="00240DFD" w:rsidRDefault="004E4EF5" w:rsidP="00F12E6E">
      <w:pPr>
        <w:pStyle w:val="ListParagraph"/>
        <w:numPr>
          <w:ilvl w:val="0"/>
          <w:numId w:val="7"/>
        </w:numPr>
        <w:rPr>
          <w:sz w:val="22"/>
          <w:szCs w:val="22"/>
        </w:rPr>
      </w:pPr>
      <w:r w:rsidRPr="00450B8C">
        <w:rPr>
          <w:sz w:val="22"/>
          <w:szCs w:val="22"/>
        </w:rPr>
        <w:t>C</w:t>
      </w:r>
      <w:r w:rsidR="007903BD" w:rsidRPr="00450B8C">
        <w:rPr>
          <w:sz w:val="22"/>
          <w:szCs w:val="22"/>
        </w:rPr>
        <w:t>arbon</w:t>
      </w:r>
      <w:r w:rsidR="000F0EE0" w:rsidRPr="00450B8C">
        <w:rPr>
          <w:sz w:val="22"/>
          <w:szCs w:val="22"/>
        </w:rPr>
        <w:t xml:space="preserve"> </w:t>
      </w:r>
      <w:r w:rsidR="007903BD" w:rsidRPr="00450B8C">
        <w:rPr>
          <w:sz w:val="22"/>
          <w:szCs w:val="22"/>
        </w:rPr>
        <w:t xml:space="preserve">emissions </w:t>
      </w:r>
      <w:r w:rsidR="000F0EE0" w:rsidRPr="00450B8C">
        <w:rPr>
          <w:sz w:val="22"/>
          <w:szCs w:val="22"/>
        </w:rPr>
        <w:t xml:space="preserve">from </w:t>
      </w:r>
      <w:r w:rsidR="00F815B7" w:rsidRPr="00450B8C">
        <w:rPr>
          <w:rFonts w:eastAsia="Times New Roman" w:cs="Times New Roman"/>
          <w:color w:val="000000" w:themeColor="text1"/>
          <w:sz w:val="22"/>
          <w:szCs w:val="22"/>
          <w:lang w:eastAsia="zh-CN"/>
        </w:rPr>
        <w:t>Yorkshire and Humber</w:t>
      </w:r>
      <w:r w:rsidR="000F0EE0" w:rsidRPr="00450B8C">
        <w:rPr>
          <w:sz w:val="22"/>
          <w:szCs w:val="22"/>
        </w:rPr>
        <w:t xml:space="preserve"> have fallen by </w:t>
      </w:r>
      <w:r w:rsidR="00450B8C" w:rsidRPr="00450B8C">
        <w:rPr>
          <w:sz w:val="22"/>
          <w:szCs w:val="22"/>
        </w:rPr>
        <w:t>37</w:t>
      </w:r>
      <w:r w:rsidR="000F0EE0" w:rsidRPr="00450B8C">
        <w:rPr>
          <w:sz w:val="22"/>
          <w:szCs w:val="22"/>
        </w:rPr>
        <w:t xml:space="preserve">% since 2005. </w:t>
      </w:r>
      <w:r w:rsidR="006E1295" w:rsidRPr="00450B8C">
        <w:rPr>
          <w:sz w:val="22"/>
          <w:szCs w:val="22"/>
        </w:rPr>
        <w:t>W</w:t>
      </w:r>
      <w:r w:rsidR="00503AE5" w:rsidRPr="00450B8C">
        <w:rPr>
          <w:sz w:val="22"/>
          <w:szCs w:val="22"/>
        </w:rPr>
        <w:t xml:space="preserve">ith on-going decarbonisation of electricity, and taking into account </w:t>
      </w:r>
      <w:r w:rsidR="00503AE5" w:rsidRPr="00240DFD">
        <w:rPr>
          <w:sz w:val="22"/>
          <w:szCs w:val="22"/>
        </w:rPr>
        <w:t>population and economic growth, w</w:t>
      </w:r>
      <w:r w:rsidR="000F0EE0" w:rsidRPr="00240DFD">
        <w:rPr>
          <w:sz w:val="22"/>
          <w:szCs w:val="22"/>
        </w:rPr>
        <w:t xml:space="preserve">e project that </w:t>
      </w:r>
      <w:r w:rsidR="00F815B7" w:rsidRPr="00240DFD">
        <w:rPr>
          <w:rFonts w:eastAsia="Times New Roman" w:cs="Times New Roman"/>
          <w:color w:val="000000" w:themeColor="text1"/>
          <w:sz w:val="22"/>
          <w:szCs w:val="22"/>
          <w:lang w:eastAsia="zh-CN"/>
        </w:rPr>
        <w:t>Yorkshire and Humber</w:t>
      </w:r>
      <w:r w:rsidR="000F0EE0" w:rsidRPr="00240DFD">
        <w:rPr>
          <w:sz w:val="22"/>
          <w:szCs w:val="22"/>
        </w:rPr>
        <w:t xml:space="preserve">’s </w:t>
      </w:r>
      <w:r w:rsidR="009C35F8" w:rsidRPr="00240DFD">
        <w:rPr>
          <w:sz w:val="22"/>
          <w:szCs w:val="22"/>
        </w:rPr>
        <w:t xml:space="preserve">2005 level of emissions will have fallen by </w:t>
      </w:r>
      <w:r w:rsidR="00240DFD" w:rsidRPr="00240DFD">
        <w:rPr>
          <w:sz w:val="22"/>
          <w:szCs w:val="22"/>
        </w:rPr>
        <w:t>50</w:t>
      </w:r>
      <w:r w:rsidR="000F0EE0" w:rsidRPr="00240DFD">
        <w:rPr>
          <w:sz w:val="22"/>
          <w:szCs w:val="22"/>
        </w:rPr>
        <w:t xml:space="preserve">% </w:t>
      </w:r>
      <w:r w:rsidR="009C35F8" w:rsidRPr="00240DFD">
        <w:rPr>
          <w:sz w:val="22"/>
          <w:szCs w:val="22"/>
        </w:rPr>
        <w:t>by</w:t>
      </w:r>
      <w:r w:rsidR="000F0EE0" w:rsidRPr="00240DFD">
        <w:rPr>
          <w:sz w:val="22"/>
          <w:szCs w:val="22"/>
        </w:rPr>
        <w:t xml:space="preserve"> 2050. </w:t>
      </w:r>
    </w:p>
    <w:p w14:paraId="5107C86A" w14:textId="2E68678C" w:rsidR="006E1295" w:rsidRPr="00240DFD" w:rsidRDefault="007903BD" w:rsidP="00F12E6E">
      <w:pPr>
        <w:pStyle w:val="ListParagraph"/>
        <w:numPr>
          <w:ilvl w:val="0"/>
          <w:numId w:val="7"/>
        </w:numPr>
        <w:rPr>
          <w:sz w:val="22"/>
          <w:szCs w:val="22"/>
        </w:rPr>
      </w:pPr>
      <w:r w:rsidRPr="00240DFD">
        <w:rPr>
          <w:sz w:val="22"/>
          <w:szCs w:val="22"/>
        </w:rPr>
        <w:t xml:space="preserve">If it is to stay within its carbon budget, </w:t>
      </w:r>
      <w:r w:rsidR="00F815B7" w:rsidRPr="00240DFD">
        <w:rPr>
          <w:rFonts w:eastAsia="Times New Roman" w:cs="Times New Roman"/>
          <w:color w:val="000000" w:themeColor="text1"/>
          <w:sz w:val="22"/>
          <w:szCs w:val="22"/>
          <w:lang w:eastAsia="zh-CN"/>
        </w:rPr>
        <w:t>Yorkshire and Humber</w:t>
      </w:r>
      <w:r w:rsidRPr="00240DFD">
        <w:rPr>
          <w:sz w:val="22"/>
          <w:szCs w:val="22"/>
        </w:rPr>
        <w:t xml:space="preserve"> needs to </w:t>
      </w:r>
      <w:r w:rsidR="004E4EF5" w:rsidRPr="00240DFD">
        <w:rPr>
          <w:sz w:val="22"/>
          <w:szCs w:val="22"/>
        </w:rPr>
        <w:t xml:space="preserve">add to the </w:t>
      </w:r>
      <w:r w:rsidR="00240DFD">
        <w:rPr>
          <w:sz w:val="22"/>
          <w:szCs w:val="22"/>
        </w:rPr>
        <w:t>37</w:t>
      </w:r>
      <w:r w:rsidR="004E4EF5" w:rsidRPr="00240DFD">
        <w:rPr>
          <w:sz w:val="22"/>
          <w:szCs w:val="22"/>
        </w:rPr>
        <w:t xml:space="preserve">% reductions already achieved to secure </w:t>
      </w:r>
      <w:r w:rsidRPr="00240DFD">
        <w:rPr>
          <w:sz w:val="22"/>
          <w:szCs w:val="22"/>
        </w:rPr>
        <w:t xml:space="preserve">65% </w:t>
      </w:r>
      <w:r w:rsidR="004E4EF5" w:rsidRPr="00240DFD">
        <w:rPr>
          <w:sz w:val="22"/>
          <w:szCs w:val="22"/>
        </w:rPr>
        <w:t xml:space="preserve">reductions </w:t>
      </w:r>
      <w:r w:rsidR="009C35F8" w:rsidRPr="00240DFD">
        <w:rPr>
          <w:sz w:val="22"/>
          <w:szCs w:val="22"/>
        </w:rPr>
        <w:t xml:space="preserve">on its 2005 level of emissions </w:t>
      </w:r>
      <w:r w:rsidRPr="00240DFD">
        <w:rPr>
          <w:sz w:val="22"/>
          <w:szCs w:val="22"/>
        </w:rPr>
        <w:t xml:space="preserve">by 2025, </w:t>
      </w:r>
      <w:r w:rsidR="00240DFD" w:rsidRPr="00240DFD">
        <w:rPr>
          <w:sz w:val="22"/>
          <w:szCs w:val="22"/>
        </w:rPr>
        <w:t>72</w:t>
      </w:r>
      <w:r w:rsidRPr="00240DFD">
        <w:rPr>
          <w:sz w:val="22"/>
          <w:szCs w:val="22"/>
        </w:rPr>
        <w:t xml:space="preserve">% by 2030, </w:t>
      </w:r>
      <w:r w:rsidR="00240DFD" w:rsidRPr="00240DFD">
        <w:rPr>
          <w:sz w:val="22"/>
          <w:szCs w:val="22"/>
        </w:rPr>
        <w:t>86</w:t>
      </w:r>
      <w:r w:rsidRPr="00240DFD">
        <w:rPr>
          <w:sz w:val="22"/>
          <w:szCs w:val="22"/>
        </w:rPr>
        <w:t>% by 2035</w:t>
      </w:r>
      <w:r w:rsidR="00240DFD" w:rsidRPr="00240DFD">
        <w:rPr>
          <w:sz w:val="22"/>
          <w:szCs w:val="22"/>
        </w:rPr>
        <w:t>, 92</w:t>
      </w:r>
      <w:r w:rsidRPr="00240DFD">
        <w:rPr>
          <w:sz w:val="22"/>
          <w:szCs w:val="22"/>
        </w:rPr>
        <w:t xml:space="preserve">% by 2040, </w:t>
      </w:r>
      <w:r w:rsidR="00240DFD" w:rsidRPr="00240DFD">
        <w:rPr>
          <w:sz w:val="22"/>
          <w:szCs w:val="22"/>
        </w:rPr>
        <w:t>96</w:t>
      </w:r>
      <w:r w:rsidRPr="00240DFD">
        <w:rPr>
          <w:sz w:val="22"/>
          <w:szCs w:val="22"/>
        </w:rPr>
        <w:t xml:space="preserve">% by 2045 and </w:t>
      </w:r>
      <w:r w:rsidR="00240DFD" w:rsidRPr="00240DFD">
        <w:rPr>
          <w:sz w:val="22"/>
          <w:szCs w:val="22"/>
        </w:rPr>
        <w:t>99</w:t>
      </w:r>
      <w:r w:rsidRPr="00240DFD">
        <w:rPr>
          <w:sz w:val="22"/>
          <w:szCs w:val="22"/>
        </w:rPr>
        <w:t>% by 2050. This means that the majority of all carbon cuts need to be delivered in the next ten years.</w:t>
      </w:r>
    </w:p>
    <w:p w14:paraId="215C79CE" w14:textId="07E8F490" w:rsidR="009C35F8" w:rsidRPr="00240DFD" w:rsidRDefault="009C35F8" w:rsidP="00F12E6E">
      <w:pPr>
        <w:pStyle w:val="ListParagraph"/>
        <w:numPr>
          <w:ilvl w:val="0"/>
          <w:numId w:val="7"/>
        </w:numPr>
        <w:rPr>
          <w:sz w:val="22"/>
          <w:szCs w:val="22"/>
        </w:rPr>
      </w:pPr>
      <w:r w:rsidRPr="00240DFD">
        <w:rPr>
          <w:sz w:val="22"/>
          <w:szCs w:val="22"/>
        </w:rPr>
        <w:t xml:space="preserve">To meet these targets, </w:t>
      </w:r>
      <w:r w:rsidR="00F815B7" w:rsidRPr="00240DFD">
        <w:rPr>
          <w:rFonts w:eastAsia="Times New Roman" w:cs="Times New Roman"/>
          <w:color w:val="000000" w:themeColor="text1"/>
          <w:sz w:val="22"/>
          <w:szCs w:val="22"/>
          <w:lang w:eastAsia="zh-CN"/>
        </w:rPr>
        <w:t>Yorkshire and Humber</w:t>
      </w:r>
      <w:r w:rsidRPr="00240DFD">
        <w:rPr>
          <w:sz w:val="22"/>
          <w:szCs w:val="22"/>
        </w:rPr>
        <w:t xml:space="preserve"> will need to adopt low carbon options that close the gap between its projected emissions in 2050 and net zero emissions. </w:t>
      </w:r>
    </w:p>
    <w:p w14:paraId="3820D48E" w14:textId="318DBB01" w:rsidR="009C35F8" w:rsidRPr="00EB744B" w:rsidRDefault="009C35F8" w:rsidP="00F12E6E">
      <w:pPr>
        <w:pStyle w:val="ListParagraph"/>
        <w:numPr>
          <w:ilvl w:val="0"/>
          <w:numId w:val="7"/>
        </w:numPr>
        <w:rPr>
          <w:sz w:val="22"/>
          <w:szCs w:val="22"/>
        </w:rPr>
      </w:pPr>
      <w:r w:rsidRPr="00240DFD">
        <w:rPr>
          <w:sz w:val="22"/>
          <w:szCs w:val="22"/>
        </w:rPr>
        <w:t>T</w:t>
      </w:r>
      <w:r w:rsidR="001B7362" w:rsidRPr="00240DFD">
        <w:rPr>
          <w:sz w:val="22"/>
          <w:szCs w:val="22"/>
        </w:rPr>
        <w:t xml:space="preserve">he analysis shows that </w:t>
      </w:r>
      <w:r w:rsidR="00F815B7" w:rsidRPr="00240DFD">
        <w:rPr>
          <w:rFonts w:eastAsia="Times New Roman" w:cs="Times New Roman"/>
          <w:color w:val="000000" w:themeColor="text1"/>
          <w:sz w:val="22"/>
          <w:szCs w:val="22"/>
          <w:lang w:eastAsia="zh-CN"/>
        </w:rPr>
        <w:t>Yorkshire and Humber</w:t>
      </w:r>
      <w:r w:rsidR="001B7362" w:rsidRPr="00240DFD">
        <w:rPr>
          <w:sz w:val="22"/>
          <w:szCs w:val="22"/>
        </w:rPr>
        <w:t xml:space="preserve"> could</w:t>
      </w:r>
      <w:r w:rsidR="00C70C6D" w:rsidRPr="00240DFD">
        <w:rPr>
          <w:sz w:val="22"/>
          <w:szCs w:val="22"/>
        </w:rPr>
        <w:t xml:space="preserve"> </w:t>
      </w:r>
      <w:r w:rsidR="001B7362" w:rsidRPr="00240DFD">
        <w:rPr>
          <w:sz w:val="22"/>
          <w:szCs w:val="22"/>
        </w:rPr>
        <w:t>close th</w:t>
      </w:r>
      <w:r w:rsidRPr="00240DFD">
        <w:rPr>
          <w:sz w:val="22"/>
          <w:szCs w:val="22"/>
        </w:rPr>
        <w:t>is</w:t>
      </w:r>
      <w:r w:rsidR="001B7362" w:rsidRPr="00240DFD">
        <w:rPr>
          <w:sz w:val="22"/>
          <w:szCs w:val="22"/>
        </w:rPr>
        <w:t xml:space="preserve"> gap </w:t>
      </w:r>
      <w:r w:rsidR="007903BD" w:rsidRPr="00240DFD">
        <w:rPr>
          <w:sz w:val="22"/>
          <w:szCs w:val="22"/>
        </w:rPr>
        <w:t xml:space="preserve">by </w:t>
      </w:r>
      <w:r w:rsidR="00240DFD">
        <w:rPr>
          <w:sz w:val="22"/>
          <w:szCs w:val="22"/>
        </w:rPr>
        <w:t>32</w:t>
      </w:r>
      <w:r w:rsidR="007903BD" w:rsidRPr="00240DFD">
        <w:rPr>
          <w:sz w:val="22"/>
          <w:szCs w:val="22"/>
        </w:rPr>
        <w:t>% through the adoption of cost-effective options in houses, public</w:t>
      </w:r>
      <w:r w:rsidR="007903BD" w:rsidRPr="00EB744B">
        <w:rPr>
          <w:sz w:val="22"/>
          <w:szCs w:val="22"/>
        </w:rPr>
        <w:t xml:space="preserve"> and commercial buildings, transport and industry</w:t>
      </w:r>
      <w:r w:rsidRPr="00EB744B">
        <w:rPr>
          <w:sz w:val="22"/>
          <w:szCs w:val="22"/>
        </w:rPr>
        <w:t xml:space="preserve">. </w:t>
      </w:r>
    </w:p>
    <w:p w14:paraId="4C5BBB26" w14:textId="391C1CD5" w:rsidR="007903BD" w:rsidRPr="00D05C65" w:rsidRDefault="009C35F8" w:rsidP="00F12E6E">
      <w:pPr>
        <w:pStyle w:val="ListParagraph"/>
        <w:numPr>
          <w:ilvl w:val="0"/>
          <w:numId w:val="7"/>
        </w:numPr>
        <w:rPr>
          <w:sz w:val="22"/>
          <w:szCs w:val="22"/>
        </w:rPr>
      </w:pPr>
      <w:r w:rsidRPr="00EB744B">
        <w:rPr>
          <w:sz w:val="22"/>
          <w:szCs w:val="22"/>
        </w:rPr>
        <w:t xml:space="preserve">Adopting these options </w:t>
      </w:r>
      <w:r w:rsidR="007903BD" w:rsidRPr="00EB744B">
        <w:rPr>
          <w:sz w:val="22"/>
          <w:szCs w:val="22"/>
        </w:rPr>
        <w:t>would redu</w:t>
      </w:r>
      <w:r w:rsidR="007903BD" w:rsidRPr="00D05C65">
        <w:rPr>
          <w:sz w:val="22"/>
          <w:szCs w:val="22"/>
        </w:rPr>
        <w:t xml:space="preserve">ce </w:t>
      </w:r>
      <w:r w:rsidR="00F815B7" w:rsidRPr="00D05C65">
        <w:rPr>
          <w:rFonts w:eastAsia="Times New Roman" w:cs="Times New Roman"/>
          <w:color w:val="000000" w:themeColor="text1"/>
          <w:sz w:val="22"/>
          <w:szCs w:val="22"/>
          <w:lang w:eastAsia="zh-CN"/>
        </w:rPr>
        <w:t>Yorkshire and Humber</w:t>
      </w:r>
      <w:r w:rsidR="007903BD" w:rsidRPr="00D05C65">
        <w:rPr>
          <w:sz w:val="22"/>
          <w:szCs w:val="22"/>
        </w:rPr>
        <w:t xml:space="preserve">’s total energy bill by </w:t>
      </w:r>
      <w:r w:rsidR="00D05C65" w:rsidRPr="00D05C65">
        <w:rPr>
          <w:sz w:val="22"/>
          <w:szCs w:val="22"/>
        </w:rPr>
        <w:t>£</w:t>
      </w:r>
      <w:r w:rsidR="003B233F">
        <w:rPr>
          <w:sz w:val="22"/>
          <w:szCs w:val="22"/>
        </w:rPr>
        <w:t xml:space="preserve">2.6 billion </w:t>
      </w:r>
      <w:r w:rsidR="007903BD" w:rsidRPr="00D05C65">
        <w:rPr>
          <w:sz w:val="22"/>
          <w:szCs w:val="22"/>
        </w:rPr>
        <w:t xml:space="preserve">p.a. whilst also creating </w:t>
      </w:r>
      <w:r w:rsidR="00D05C65" w:rsidRPr="00D05C65">
        <w:rPr>
          <w:sz w:val="22"/>
          <w:szCs w:val="22"/>
        </w:rPr>
        <w:t>34,932</w:t>
      </w:r>
      <w:r w:rsidR="007903BD" w:rsidRPr="00D05C65">
        <w:rPr>
          <w:sz w:val="22"/>
          <w:szCs w:val="22"/>
        </w:rPr>
        <w:t xml:space="preserve"> </w:t>
      </w:r>
      <w:r w:rsidR="00C70C6D" w:rsidRPr="00D05C65">
        <w:rPr>
          <w:sz w:val="22"/>
          <w:szCs w:val="22"/>
        </w:rPr>
        <w:t xml:space="preserve">years of employment in </w:t>
      </w:r>
      <w:r w:rsidR="00240DFD" w:rsidRPr="00D05C65">
        <w:rPr>
          <w:sz w:val="22"/>
          <w:szCs w:val="22"/>
        </w:rPr>
        <w:t>the area</w:t>
      </w:r>
      <w:r w:rsidR="00C70C6D" w:rsidRPr="00D05C65">
        <w:rPr>
          <w:sz w:val="22"/>
          <w:szCs w:val="22"/>
        </w:rPr>
        <w:t>.</w:t>
      </w:r>
    </w:p>
    <w:p w14:paraId="26A139FF" w14:textId="0A517744" w:rsidR="007903BD" w:rsidRPr="00EB744B" w:rsidRDefault="007903BD" w:rsidP="007903BD">
      <w:pPr>
        <w:pStyle w:val="ListParagraph"/>
        <w:numPr>
          <w:ilvl w:val="0"/>
          <w:numId w:val="7"/>
        </w:numPr>
        <w:rPr>
          <w:sz w:val="22"/>
          <w:szCs w:val="22"/>
        </w:rPr>
      </w:pPr>
      <w:r w:rsidRPr="00D05C65">
        <w:rPr>
          <w:sz w:val="22"/>
          <w:szCs w:val="22"/>
        </w:rPr>
        <w:t xml:space="preserve">The most carbon effective options for </w:t>
      </w:r>
      <w:r w:rsidR="00240DFD" w:rsidRPr="00D05C65">
        <w:rPr>
          <w:sz w:val="22"/>
          <w:szCs w:val="22"/>
        </w:rPr>
        <w:t>the area</w:t>
      </w:r>
      <w:r w:rsidRPr="00D05C65">
        <w:rPr>
          <w:sz w:val="22"/>
          <w:szCs w:val="22"/>
        </w:rPr>
        <w:t xml:space="preserve"> to deliver these carbon cuts include improved heating, lighting and insulation in</w:t>
      </w:r>
      <w:r w:rsidRPr="00EB744B">
        <w:rPr>
          <w:sz w:val="22"/>
          <w:szCs w:val="22"/>
        </w:rPr>
        <w:t xml:space="preserve"> houses, cooling and insulation in offices, shops and restaurants and the wider up-take of electric vehicles. </w:t>
      </w:r>
    </w:p>
    <w:p w14:paraId="3CE9486A" w14:textId="1FF8F510" w:rsidR="00C70C6D" w:rsidRPr="00240DFD" w:rsidRDefault="007903BD" w:rsidP="00F12E6E">
      <w:pPr>
        <w:pStyle w:val="ListParagraph"/>
        <w:numPr>
          <w:ilvl w:val="0"/>
          <w:numId w:val="7"/>
        </w:numPr>
        <w:rPr>
          <w:sz w:val="22"/>
          <w:szCs w:val="22"/>
        </w:rPr>
      </w:pPr>
      <w:r w:rsidRPr="00EB744B">
        <w:rPr>
          <w:sz w:val="22"/>
          <w:szCs w:val="22"/>
        </w:rPr>
        <w:t xml:space="preserve">The analysis also </w:t>
      </w:r>
      <w:r w:rsidRPr="00240DFD">
        <w:rPr>
          <w:sz w:val="22"/>
          <w:szCs w:val="22"/>
        </w:rPr>
        <w:t xml:space="preserve">shows that </w:t>
      </w:r>
      <w:r w:rsidR="00F815B7" w:rsidRPr="00240DFD">
        <w:rPr>
          <w:rFonts w:eastAsia="Times New Roman" w:cs="Times New Roman"/>
          <w:color w:val="000000" w:themeColor="text1"/>
          <w:sz w:val="22"/>
          <w:szCs w:val="22"/>
          <w:lang w:eastAsia="zh-CN"/>
        </w:rPr>
        <w:t>Yorkshire and Humber</w:t>
      </w:r>
      <w:r w:rsidRPr="00240DFD">
        <w:rPr>
          <w:sz w:val="22"/>
          <w:szCs w:val="22"/>
        </w:rPr>
        <w:t xml:space="preserve"> could </w:t>
      </w:r>
      <w:r w:rsidR="009C35F8" w:rsidRPr="00240DFD">
        <w:rPr>
          <w:sz w:val="22"/>
          <w:szCs w:val="22"/>
        </w:rPr>
        <w:t>close the</w:t>
      </w:r>
      <w:r w:rsidR="00C70C6D" w:rsidRPr="00240DFD">
        <w:rPr>
          <w:sz w:val="22"/>
          <w:szCs w:val="22"/>
        </w:rPr>
        <w:t xml:space="preserve"> gap </w:t>
      </w:r>
      <w:r w:rsidRPr="00240DFD">
        <w:rPr>
          <w:sz w:val="22"/>
          <w:szCs w:val="22"/>
        </w:rPr>
        <w:t xml:space="preserve">by </w:t>
      </w:r>
      <w:r w:rsidR="00240DFD" w:rsidRPr="00240DFD">
        <w:rPr>
          <w:sz w:val="22"/>
          <w:szCs w:val="22"/>
        </w:rPr>
        <w:t>54</w:t>
      </w:r>
      <w:r w:rsidRPr="00240DFD">
        <w:rPr>
          <w:sz w:val="22"/>
          <w:szCs w:val="22"/>
        </w:rPr>
        <w:t xml:space="preserve">% through the adoption of </w:t>
      </w:r>
      <w:r w:rsidR="009C35F8" w:rsidRPr="00240DFD">
        <w:rPr>
          <w:sz w:val="22"/>
          <w:szCs w:val="22"/>
        </w:rPr>
        <w:t>options that already available but that may not pay for themselves directly through the energy they save</w:t>
      </w:r>
      <w:r w:rsidRPr="00240DFD">
        <w:rPr>
          <w:sz w:val="22"/>
          <w:szCs w:val="22"/>
        </w:rPr>
        <w:t>.</w:t>
      </w:r>
      <w:r w:rsidR="009C35F8" w:rsidRPr="00240DFD">
        <w:rPr>
          <w:sz w:val="22"/>
          <w:szCs w:val="22"/>
        </w:rPr>
        <w:t xml:space="preserve"> Many of these options would generate indirect benefits, for example relating to reduced congestion</w:t>
      </w:r>
      <w:r w:rsidR="00B677D9" w:rsidRPr="00240DFD">
        <w:rPr>
          <w:sz w:val="22"/>
          <w:szCs w:val="22"/>
        </w:rPr>
        <w:t xml:space="preserve"> </w:t>
      </w:r>
      <w:r w:rsidR="009C35F8" w:rsidRPr="00240DFD">
        <w:rPr>
          <w:sz w:val="22"/>
          <w:szCs w:val="22"/>
        </w:rPr>
        <w:t>and air pollution and improved public health</w:t>
      </w:r>
      <w:r w:rsidR="00B677D9" w:rsidRPr="00240DFD">
        <w:rPr>
          <w:sz w:val="22"/>
          <w:szCs w:val="22"/>
        </w:rPr>
        <w:t>.</w:t>
      </w:r>
    </w:p>
    <w:p w14:paraId="46D0112D" w14:textId="2FA883BE" w:rsidR="00C70C6D" w:rsidRPr="00EB744B" w:rsidRDefault="007903BD" w:rsidP="00F12E6E">
      <w:pPr>
        <w:pStyle w:val="ListParagraph"/>
        <w:numPr>
          <w:ilvl w:val="0"/>
          <w:numId w:val="7"/>
        </w:numPr>
        <w:rPr>
          <w:sz w:val="22"/>
          <w:szCs w:val="22"/>
        </w:rPr>
      </w:pPr>
      <w:r w:rsidRPr="00240DFD">
        <w:rPr>
          <w:sz w:val="22"/>
          <w:szCs w:val="22"/>
        </w:rPr>
        <w:t xml:space="preserve">This means that </w:t>
      </w:r>
      <w:r w:rsidR="001B7362" w:rsidRPr="00240DFD">
        <w:rPr>
          <w:sz w:val="22"/>
          <w:szCs w:val="22"/>
        </w:rPr>
        <w:t xml:space="preserve">although it can achieve a lot by focusing on already established options, </w:t>
      </w:r>
      <w:r w:rsidR="00F815B7" w:rsidRPr="00240DFD">
        <w:rPr>
          <w:rFonts w:eastAsia="Times New Roman" w:cs="Times New Roman"/>
          <w:color w:val="000000" w:themeColor="text1"/>
          <w:sz w:val="22"/>
          <w:szCs w:val="22"/>
          <w:lang w:eastAsia="zh-CN"/>
        </w:rPr>
        <w:t>Yorkshire and Humber</w:t>
      </w:r>
      <w:r w:rsidRPr="00240DFD">
        <w:rPr>
          <w:sz w:val="22"/>
          <w:szCs w:val="22"/>
        </w:rPr>
        <w:t xml:space="preserve"> still has to identify </w:t>
      </w:r>
      <w:r w:rsidR="001B7362" w:rsidRPr="00240DFD">
        <w:rPr>
          <w:sz w:val="22"/>
          <w:szCs w:val="22"/>
        </w:rPr>
        <w:t xml:space="preserve">some other possibly more </w:t>
      </w:r>
      <w:r w:rsidRPr="00240DFD">
        <w:rPr>
          <w:sz w:val="22"/>
          <w:szCs w:val="22"/>
        </w:rPr>
        <w:t xml:space="preserve">innovative options that could deliver the last </w:t>
      </w:r>
      <w:r w:rsidR="00240DFD" w:rsidRPr="00240DFD">
        <w:rPr>
          <w:sz w:val="22"/>
          <w:szCs w:val="22"/>
        </w:rPr>
        <w:t>46</w:t>
      </w:r>
      <w:r w:rsidRPr="00240DFD">
        <w:rPr>
          <w:sz w:val="22"/>
          <w:szCs w:val="22"/>
        </w:rPr>
        <w:t>% of the</w:t>
      </w:r>
      <w:r w:rsidRPr="00EB744B">
        <w:rPr>
          <w:sz w:val="22"/>
          <w:szCs w:val="22"/>
        </w:rPr>
        <w:t xml:space="preserve"> gap between </w:t>
      </w:r>
      <w:r w:rsidR="001B7362" w:rsidRPr="00EB744B">
        <w:rPr>
          <w:sz w:val="22"/>
          <w:szCs w:val="22"/>
        </w:rPr>
        <w:t>its projected emissions in 2050 and a</w:t>
      </w:r>
      <w:r w:rsidRPr="00EB744B">
        <w:rPr>
          <w:sz w:val="22"/>
          <w:szCs w:val="22"/>
        </w:rPr>
        <w:t xml:space="preserve"> net zero</w:t>
      </w:r>
      <w:r w:rsidR="001B7362" w:rsidRPr="00EB744B">
        <w:rPr>
          <w:sz w:val="22"/>
          <w:szCs w:val="22"/>
        </w:rPr>
        <w:t xml:space="preserve"> target</w:t>
      </w:r>
      <w:r w:rsidRPr="00EB744B">
        <w:rPr>
          <w:sz w:val="22"/>
          <w:szCs w:val="22"/>
        </w:rPr>
        <w:t xml:space="preserve">. </w:t>
      </w:r>
    </w:p>
    <w:p w14:paraId="710A9459" w14:textId="77777777" w:rsidR="001B7362" w:rsidRPr="00EB744B" w:rsidRDefault="001B7362" w:rsidP="001B7362">
      <w:pPr>
        <w:pStyle w:val="ListParagraph"/>
        <w:rPr>
          <w:sz w:val="22"/>
          <w:szCs w:val="22"/>
        </w:rPr>
      </w:pPr>
    </w:p>
    <w:p w14:paraId="775DC44D" w14:textId="77777777" w:rsidR="007903BD" w:rsidRPr="00EB744B" w:rsidRDefault="007903BD" w:rsidP="007903BD">
      <w:pPr>
        <w:rPr>
          <w:sz w:val="22"/>
          <w:szCs w:val="22"/>
        </w:rPr>
      </w:pPr>
    </w:p>
    <w:p w14:paraId="493CA286" w14:textId="54CB49D0" w:rsidR="007F2860" w:rsidRPr="00EB744B" w:rsidRDefault="007F2860" w:rsidP="00152304">
      <w:pPr>
        <w:pStyle w:val="Heading2"/>
        <w:rPr>
          <w:rFonts w:asciiTheme="minorHAnsi" w:hAnsiTheme="minorHAnsi"/>
          <w:b/>
          <w:sz w:val="22"/>
          <w:szCs w:val="22"/>
        </w:rPr>
      </w:pPr>
      <w:r w:rsidRPr="00EB744B">
        <w:rPr>
          <w:rFonts w:asciiTheme="minorHAnsi" w:hAnsiTheme="minorHAnsi"/>
          <w:b/>
          <w:sz w:val="22"/>
          <w:szCs w:val="22"/>
        </w:rPr>
        <w:t>Introduction</w:t>
      </w:r>
    </w:p>
    <w:p w14:paraId="7F95ACA1" w14:textId="0DFA3525" w:rsidR="00F75573" w:rsidRPr="00EB744B" w:rsidRDefault="00F75573" w:rsidP="00F75573">
      <w:pPr>
        <w:rPr>
          <w:rFonts w:eastAsiaTheme="majorEastAsia" w:cstheme="majorBidi"/>
          <w:color w:val="2E74B5" w:themeColor="accent1" w:themeShade="BF"/>
          <w:sz w:val="22"/>
          <w:szCs w:val="22"/>
        </w:rPr>
      </w:pPr>
    </w:p>
    <w:p w14:paraId="52D58B01" w14:textId="56395996" w:rsidR="0095700C" w:rsidRPr="00EB744B" w:rsidRDefault="0095700C" w:rsidP="0095700C">
      <w:pPr>
        <w:rPr>
          <w:sz w:val="22"/>
          <w:szCs w:val="22"/>
        </w:rPr>
      </w:pPr>
      <w:r w:rsidRPr="00EB744B">
        <w:rPr>
          <w:sz w:val="22"/>
          <w:szCs w:val="22"/>
        </w:rPr>
        <w:t xml:space="preserve">Climate science has proven the connection between the concentration of greenhouse gases in the atmosphere and the extent to which the atmosphere traps heat and so leads to global warming. The science tells us – with a </w:t>
      </w:r>
      <w:r w:rsidR="00373C1C" w:rsidRPr="00EB744B">
        <w:rPr>
          <w:sz w:val="22"/>
          <w:szCs w:val="22"/>
        </w:rPr>
        <w:t xml:space="preserve">very </w:t>
      </w:r>
      <w:r w:rsidRPr="00EB744B">
        <w:rPr>
          <w:sz w:val="22"/>
          <w:szCs w:val="22"/>
        </w:rPr>
        <w:t xml:space="preserve">high level of confidence – that such warming will lead to </w:t>
      </w:r>
      <w:r w:rsidR="00F92FA6" w:rsidRPr="00EB744B">
        <w:rPr>
          <w:sz w:val="22"/>
          <w:szCs w:val="22"/>
        </w:rPr>
        <w:t xml:space="preserve">increasingly severe </w:t>
      </w:r>
      <w:r w:rsidRPr="00EB744B">
        <w:rPr>
          <w:sz w:val="22"/>
          <w:szCs w:val="22"/>
        </w:rPr>
        <w:t>disruption to our weather patterns and water and food systems, and to ecosystems and biodiversity. Perhaps most worryingly, the science predicts that there may be a point where warming becomes self-fuelling – for example where it lea</w:t>
      </w:r>
      <w:r w:rsidR="002732E4" w:rsidRPr="00EB744B">
        <w:rPr>
          <w:sz w:val="22"/>
          <w:szCs w:val="22"/>
        </w:rPr>
        <w:t>ds to the thawing of permafrost</w:t>
      </w:r>
      <w:r w:rsidRPr="00EB744B">
        <w:rPr>
          <w:sz w:val="22"/>
          <w:szCs w:val="22"/>
        </w:rPr>
        <w:t xml:space="preserve"> so that they release significant quantities of greenhouse gases that </w:t>
      </w:r>
      <w:r w:rsidR="00F92FA6" w:rsidRPr="00EB744B">
        <w:rPr>
          <w:sz w:val="22"/>
          <w:szCs w:val="22"/>
        </w:rPr>
        <w:t>then lead to more warming</w:t>
      </w:r>
      <w:r w:rsidRPr="00EB744B">
        <w:rPr>
          <w:sz w:val="22"/>
          <w:szCs w:val="22"/>
        </w:rPr>
        <w:t xml:space="preserve">. </w:t>
      </w:r>
      <w:r w:rsidR="00F92FA6" w:rsidRPr="00EB744B">
        <w:rPr>
          <w:sz w:val="22"/>
          <w:szCs w:val="22"/>
        </w:rPr>
        <w:t xml:space="preserve">Beyond this </w:t>
      </w:r>
      <w:r w:rsidR="00F92FA6" w:rsidRPr="00EB744B">
        <w:rPr>
          <w:sz w:val="22"/>
          <w:szCs w:val="22"/>
        </w:rPr>
        <w:lastRenderedPageBreak/>
        <w:t>point or threshold</w:t>
      </w:r>
      <w:r w:rsidRPr="00EB744B">
        <w:rPr>
          <w:sz w:val="22"/>
          <w:szCs w:val="22"/>
        </w:rPr>
        <w:t xml:space="preserve">, </w:t>
      </w:r>
      <w:r w:rsidR="00F92FA6" w:rsidRPr="00EB744B">
        <w:rPr>
          <w:sz w:val="22"/>
          <w:szCs w:val="22"/>
        </w:rPr>
        <w:t xml:space="preserve">the evidence suggests that </w:t>
      </w:r>
      <w:r w:rsidRPr="00EB744B">
        <w:rPr>
          <w:sz w:val="22"/>
          <w:szCs w:val="22"/>
        </w:rPr>
        <w:t xml:space="preserve">we </w:t>
      </w:r>
      <w:r w:rsidR="00F92FA6" w:rsidRPr="00EB744B">
        <w:rPr>
          <w:sz w:val="22"/>
          <w:szCs w:val="22"/>
        </w:rPr>
        <w:t xml:space="preserve">may </w:t>
      </w:r>
      <w:r w:rsidRPr="00EB744B">
        <w:rPr>
          <w:sz w:val="22"/>
          <w:szCs w:val="22"/>
        </w:rPr>
        <w:t xml:space="preserve">lose control of our future climate and become subject to what has been referred to as </w:t>
      </w:r>
      <w:r w:rsidR="00F92FA6" w:rsidRPr="00EB744B">
        <w:rPr>
          <w:sz w:val="22"/>
          <w:szCs w:val="22"/>
        </w:rPr>
        <w:t xml:space="preserve">dangerous or </w:t>
      </w:r>
      <w:r w:rsidRPr="00EB744B">
        <w:rPr>
          <w:sz w:val="22"/>
          <w:szCs w:val="22"/>
        </w:rPr>
        <w:t xml:space="preserve">runaway climate change. </w:t>
      </w:r>
    </w:p>
    <w:p w14:paraId="04E42008" w14:textId="3EAD858F" w:rsidR="0095700C" w:rsidRPr="00EB744B" w:rsidRDefault="0095700C" w:rsidP="0095700C">
      <w:pPr>
        <w:rPr>
          <w:sz w:val="22"/>
          <w:szCs w:val="22"/>
        </w:rPr>
      </w:pPr>
    </w:p>
    <w:p w14:paraId="76C405FF" w14:textId="068CCE83" w:rsidR="0095700C" w:rsidRPr="00EB744B" w:rsidRDefault="0095700C" w:rsidP="00F75573">
      <w:pPr>
        <w:rPr>
          <w:sz w:val="22"/>
          <w:szCs w:val="22"/>
        </w:rPr>
      </w:pPr>
      <w:r w:rsidRPr="00EB744B">
        <w:rPr>
          <w:sz w:val="22"/>
          <w:szCs w:val="22"/>
        </w:rPr>
        <w:t xml:space="preserve">Until recently, scientists felt that this threshold existed at around 2 degrees centigrade of global warming, measured as a global average of surface temperatures. However, more recent </w:t>
      </w:r>
      <w:r w:rsidR="0007584F" w:rsidRPr="00EB744B">
        <w:rPr>
          <w:sz w:val="22"/>
          <w:szCs w:val="22"/>
        </w:rPr>
        <w:t xml:space="preserve">scientific </w:t>
      </w:r>
      <w:r w:rsidRPr="00EB744B">
        <w:rPr>
          <w:sz w:val="22"/>
          <w:szCs w:val="22"/>
        </w:rPr>
        <w:t xml:space="preserve">assessments (especially by the Intergovernmental Panel on Climate Change or IPCC in 2017) have suggested that the threshold </w:t>
      </w:r>
      <w:r w:rsidR="00F92FA6" w:rsidRPr="00EB744B">
        <w:rPr>
          <w:sz w:val="22"/>
          <w:szCs w:val="22"/>
        </w:rPr>
        <w:t xml:space="preserve">should instead be set at 1.5 degrees centigrade. This change </w:t>
      </w:r>
      <w:r w:rsidR="00DD2F9F" w:rsidRPr="00EB744B">
        <w:rPr>
          <w:sz w:val="22"/>
          <w:szCs w:val="22"/>
        </w:rPr>
        <w:t xml:space="preserve">in the suggested threshold </w:t>
      </w:r>
      <w:r w:rsidR="00F92FA6" w:rsidRPr="00EB744B">
        <w:rPr>
          <w:sz w:val="22"/>
          <w:szCs w:val="22"/>
        </w:rPr>
        <w:t xml:space="preserve">from 2 degrees to 1.5 degrees has led to calls for targets for decarbonisation to be made </w:t>
      </w:r>
      <w:r w:rsidR="00DD2F9F" w:rsidRPr="00EB744B">
        <w:rPr>
          <w:sz w:val="22"/>
          <w:szCs w:val="22"/>
        </w:rPr>
        <w:t xml:space="preserve">both </w:t>
      </w:r>
      <w:r w:rsidR="00F92FA6" w:rsidRPr="00EB744B">
        <w:rPr>
          <w:sz w:val="22"/>
          <w:szCs w:val="22"/>
        </w:rPr>
        <w:t>stricter (e.g. for the UK to move from an 80% decarbonisation target to a net zero target), and to be brought forward (e.g. from 2050 to 2030).</w:t>
      </w:r>
    </w:p>
    <w:p w14:paraId="2BBB6ADA" w14:textId="4FFEE730" w:rsidR="00F92FA6" w:rsidRPr="00EB744B" w:rsidRDefault="00F92FA6" w:rsidP="00F75573">
      <w:pPr>
        <w:rPr>
          <w:sz w:val="22"/>
          <w:szCs w:val="22"/>
        </w:rPr>
      </w:pPr>
    </w:p>
    <w:p w14:paraId="28A86008" w14:textId="455A3AA8" w:rsidR="00F92FA6" w:rsidRPr="00EB744B" w:rsidRDefault="00F92FA6" w:rsidP="00F75573">
      <w:pPr>
        <w:rPr>
          <w:sz w:val="22"/>
          <w:szCs w:val="22"/>
        </w:rPr>
      </w:pPr>
      <w:r w:rsidRPr="00EB744B">
        <w:rPr>
          <w:sz w:val="22"/>
          <w:szCs w:val="22"/>
        </w:rPr>
        <w:t xml:space="preserve">Globally, the IPCC suggests that from 2020 we can only </w:t>
      </w:r>
      <w:r w:rsidR="00DD2F9F" w:rsidRPr="00EB744B">
        <w:rPr>
          <w:sz w:val="22"/>
          <w:szCs w:val="22"/>
        </w:rPr>
        <w:t xml:space="preserve">emit </w:t>
      </w:r>
      <w:r w:rsidRPr="00EB744B">
        <w:rPr>
          <w:sz w:val="22"/>
          <w:szCs w:val="22"/>
        </w:rPr>
        <w:t xml:space="preserve">344 billion tonnes of greenhouse gases if we want to give ourselves a 66% chance of avoiding dangerous climate change. </w:t>
      </w:r>
      <w:r w:rsidR="00373C1C" w:rsidRPr="00EB744B">
        <w:rPr>
          <w:sz w:val="22"/>
          <w:szCs w:val="22"/>
        </w:rPr>
        <w:t>Globally</w:t>
      </w:r>
      <w:r w:rsidRPr="00EB744B">
        <w:rPr>
          <w:sz w:val="22"/>
          <w:szCs w:val="22"/>
        </w:rPr>
        <w:t>, we are</w:t>
      </w:r>
      <w:r w:rsidR="00373C1C" w:rsidRPr="00EB744B">
        <w:rPr>
          <w:sz w:val="22"/>
          <w:szCs w:val="22"/>
        </w:rPr>
        <w:t xml:space="preserve"> currently</w:t>
      </w:r>
      <w:r w:rsidRPr="00EB744B">
        <w:rPr>
          <w:sz w:val="22"/>
          <w:szCs w:val="22"/>
        </w:rPr>
        <w:t xml:space="preserve"> emitting over 37 billion tonnes of greenhouse gases every year. That means that we will have used up our global carbon budget within a decade. It is this realisation – and the ever accumulating science on the scale of the impacts of climate change - that led to calls for organisations and areas to declare a climate emergency and to develop and implement plans to rapidly reduce GHG emissions. </w:t>
      </w:r>
    </w:p>
    <w:p w14:paraId="2F9D40EB" w14:textId="77777777" w:rsidR="00E26FF9" w:rsidRPr="00EB744B" w:rsidRDefault="00E26FF9" w:rsidP="00F75573">
      <w:pPr>
        <w:rPr>
          <w:sz w:val="22"/>
          <w:szCs w:val="22"/>
        </w:rPr>
      </w:pPr>
    </w:p>
    <w:p w14:paraId="44D8E570" w14:textId="4FE6D985" w:rsidR="00373C1C" w:rsidRPr="00EB744B" w:rsidRDefault="00373C1C" w:rsidP="00F75573">
      <w:pPr>
        <w:rPr>
          <w:sz w:val="22"/>
          <w:szCs w:val="22"/>
        </w:rPr>
      </w:pPr>
    </w:p>
    <w:p w14:paraId="5E505B15" w14:textId="075B4545" w:rsidR="00373C1C" w:rsidRPr="00EB744B" w:rsidRDefault="00373C1C" w:rsidP="00373C1C">
      <w:pPr>
        <w:pStyle w:val="Heading2"/>
        <w:rPr>
          <w:rFonts w:asciiTheme="minorHAnsi" w:hAnsiTheme="minorHAnsi"/>
          <w:b/>
          <w:sz w:val="22"/>
          <w:szCs w:val="22"/>
        </w:rPr>
      </w:pPr>
      <w:r w:rsidRPr="00EB744B">
        <w:rPr>
          <w:rFonts w:asciiTheme="minorHAnsi" w:hAnsiTheme="minorHAnsi"/>
          <w:b/>
          <w:sz w:val="22"/>
          <w:szCs w:val="22"/>
        </w:rPr>
        <w:t>Measuring Your Carbon Footprint</w:t>
      </w:r>
    </w:p>
    <w:p w14:paraId="46D81222" w14:textId="77777777" w:rsidR="0095700C" w:rsidRPr="00EB744B" w:rsidRDefault="0095700C" w:rsidP="00F75573">
      <w:pPr>
        <w:rPr>
          <w:sz w:val="22"/>
          <w:szCs w:val="22"/>
        </w:rPr>
      </w:pPr>
    </w:p>
    <w:p w14:paraId="787D79E9" w14:textId="1B74C5E5" w:rsidR="007F2860" w:rsidRPr="00EB744B" w:rsidRDefault="00F75573" w:rsidP="007F2860">
      <w:pPr>
        <w:rPr>
          <w:sz w:val="22"/>
          <w:szCs w:val="22"/>
        </w:rPr>
      </w:pPr>
      <w:r w:rsidRPr="00EB744B">
        <w:rPr>
          <w:sz w:val="22"/>
          <w:szCs w:val="22"/>
        </w:rPr>
        <w:t xml:space="preserve">Any area’s carbon footprint </w:t>
      </w:r>
      <w:r w:rsidR="00373C1C" w:rsidRPr="00EB744B">
        <w:rPr>
          <w:sz w:val="22"/>
          <w:szCs w:val="22"/>
        </w:rPr>
        <w:t xml:space="preserve">– measured in terms of the total impact of all of its greenhouse gas emissions - </w:t>
      </w:r>
      <w:r w:rsidRPr="00EB744B">
        <w:rPr>
          <w:sz w:val="22"/>
          <w:szCs w:val="22"/>
        </w:rPr>
        <w:t xml:space="preserve">can be divided into three types of </w:t>
      </w:r>
      <w:r w:rsidR="00DD2F9F" w:rsidRPr="00EB744B">
        <w:rPr>
          <w:sz w:val="22"/>
          <w:szCs w:val="22"/>
        </w:rPr>
        <w:t xml:space="preserve">greenhouse gas </w:t>
      </w:r>
      <w:r w:rsidRPr="00EB744B">
        <w:rPr>
          <w:sz w:val="22"/>
          <w:szCs w:val="22"/>
        </w:rPr>
        <w:t xml:space="preserve">emissions. </w:t>
      </w:r>
    </w:p>
    <w:p w14:paraId="1AE35EC6" w14:textId="1FB78987" w:rsidR="00F75573" w:rsidRPr="00EB744B" w:rsidRDefault="00F75573" w:rsidP="007F2860">
      <w:pPr>
        <w:rPr>
          <w:sz w:val="22"/>
          <w:szCs w:val="22"/>
        </w:rPr>
      </w:pPr>
    </w:p>
    <w:p w14:paraId="5F23D157" w14:textId="23EBE936" w:rsidR="00F75573" w:rsidRPr="00EB744B" w:rsidRDefault="00F75573" w:rsidP="0007584F">
      <w:pPr>
        <w:pStyle w:val="ListParagraph"/>
        <w:numPr>
          <w:ilvl w:val="0"/>
          <w:numId w:val="5"/>
        </w:numPr>
        <w:rPr>
          <w:sz w:val="22"/>
          <w:szCs w:val="22"/>
        </w:rPr>
      </w:pPr>
      <w:r w:rsidRPr="00EB744B">
        <w:rPr>
          <w:sz w:val="22"/>
          <w:szCs w:val="22"/>
        </w:rPr>
        <w:t xml:space="preserve">Those coming from the fuel (e.g. petrol, diesel or gas) that is directly used </w:t>
      </w:r>
      <w:r w:rsidR="00DD2F9F" w:rsidRPr="00EB744B">
        <w:rPr>
          <w:sz w:val="22"/>
          <w:szCs w:val="22"/>
        </w:rPr>
        <w:t xml:space="preserve">within an area </w:t>
      </w:r>
      <w:r w:rsidR="00373C1C" w:rsidRPr="00EB744B">
        <w:rPr>
          <w:sz w:val="22"/>
          <w:szCs w:val="22"/>
        </w:rPr>
        <w:t>an</w:t>
      </w:r>
      <w:r w:rsidR="0007584F" w:rsidRPr="00EB744B">
        <w:rPr>
          <w:sz w:val="22"/>
          <w:szCs w:val="22"/>
        </w:rPr>
        <w:t>d</w:t>
      </w:r>
      <w:r w:rsidR="00373C1C" w:rsidRPr="00EB744B">
        <w:rPr>
          <w:sz w:val="22"/>
          <w:szCs w:val="22"/>
        </w:rPr>
        <w:t xml:space="preserve"> from other sources such as landfill sites</w:t>
      </w:r>
      <w:r w:rsidR="0007584F" w:rsidRPr="00EB744B">
        <w:rPr>
          <w:sz w:val="22"/>
          <w:szCs w:val="22"/>
        </w:rPr>
        <w:t xml:space="preserve"> </w:t>
      </w:r>
      <w:r w:rsidR="00DD2F9F" w:rsidRPr="00EB744B">
        <w:rPr>
          <w:sz w:val="22"/>
          <w:szCs w:val="22"/>
        </w:rPr>
        <w:t xml:space="preserve">or industry </w:t>
      </w:r>
      <w:r w:rsidR="0007584F" w:rsidRPr="00EB744B">
        <w:rPr>
          <w:sz w:val="22"/>
          <w:szCs w:val="22"/>
        </w:rPr>
        <w:t>within the area</w:t>
      </w:r>
      <w:r w:rsidRPr="00EB744B">
        <w:rPr>
          <w:sz w:val="22"/>
          <w:szCs w:val="22"/>
        </w:rPr>
        <w:t xml:space="preserve">. These are known as Scope 1 emissions. </w:t>
      </w:r>
    </w:p>
    <w:p w14:paraId="2F543E0E" w14:textId="129C43DB" w:rsidR="00F75573" w:rsidRPr="00EB744B" w:rsidRDefault="00F75573" w:rsidP="00373C1C">
      <w:pPr>
        <w:pStyle w:val="ListParagraph"/>
        <w:numPr>
          <w:ilvl w:val="0"/>
          <w:numId w:val="5"/>
        </w:numPr>
        <w:rPr>
          <w:sz w:val="22"/>
          <w:szCs w:val="22"/>
        </w:rPr>
      </w:pPr>
      <w:r w:rsidRPr="00EB744B">
        <w:rPr>
          <w:sz w:val="22"/>
          <w:szCs w:val="22"/>
        </w:rPr>
        <w:t xml:space="preserve">Those coming from the electricity that is used within </w:t>
      </w:r>
      <w:r w:rsidR="0007584F" w:rsidRPr="00EB744B">
        <w:rPr>
          <w:sz w:val="22"/>
          <w:szCs w:val="22"/>
        </w:rPr>
        <w:t>the</w:t>
      </w:r>
      <w:r w:rsidRPr="00EB744B">
        <w:rPr>
          <w:sz w:val="22"/>
          <w:szCs w:val="22"/>
        </w:rPr>
        <w:t xml:space="preserve"> area, even if it is generated somewhere else. These are known as Scope 2 emissions. </w:t>
      </w:r>
      <w:r w:rsidR="00F92FA6" w:rsidRPr="00EB744B">
        <w:rPr>
          <w:sz w:val="22"/>
          <w:szCs w:val="22"/>
        </w:rPr>
        <w:t>Together scope 1 and 2 emissions are sometimes referred to as territorial emissions.</w:t>
      </w:r>
    </w:p>
    <w:p w14:paraId="579F41CA" w14:textId="3931D0B7" w:rsidR="00DA1400" w:rsidRPr="00EB744B" w:rsidRDefault="00F75573" w:rsidP="00F21844">
      <w:pPr>
        <w:pStyle w:val="ListParagraph"/>
        <w:numPr>
          <w:ilvl w:val="0"/>
          <w:numId w:val="5"/>
        </w:numPr>
        <w:rPr>
          <w:sz w:val="22"/>
          <w:szCs w:val="22"/>
          <w:u w:val="single"/>
        </w:rPr>
      </w:pPr>
      <w:r w:rsidRPr="00EB744B">
        <w:rPr>
          <w:sz w:val="22"/>
          <w:szCs w:val="22"/>
        </w:rPr>
        <w:t>Those associated with the goods and services that are produced elsewhere but imported and consumed within the area</w:t>
      </w:r>
      <w:r w:rsidR="00373C1C" w:rsidRPr="00EB744B">
        <w:rPr>
          <w:sz w:val="22"/>
          <w:szCs w:val="22"/>
        </w:rPr>
        <w:t>.</w:t>
      </w:r>
      <w:r w:rsidRPr="00EB744B">
        <w:rPr>
          <w:sz w:val="22"/>
          <w:szCs w:val="22"/>
        </w:rPr>
        <w:t xml:space="preserve"> After taking into account the carbon footprint of any goods and services produced in the area but </w:t>
      </w:r>
      <w:r w:rsidR="00DD2F9F" w:rsidRPr="00EB744B">
        <w:rPr>
          <w:sz w:val="22"/>
          <w:szCs w:val="22"/>
        </w:rPr>
        <w:t xml:space="preserve">that are </w:t>
      </w:r>
      <w:r w:rsidRPr="00EB744B">
        <w:rPr>
          <w:sz w:val="22"/>
          <w:szCs w:val="22"/>
        </w:rPr>
        <w:t xml:space="preserve">exported and consumed elsewhere, these are known as Scope 3 </w:t>
      </w:r>
      <w:r w:rsidR="00F92FA6" w:rsidRPr="00EB744B">
        <w:rPr>
          <w:sz w:val="22"/>
          <w:szCs w:val="22"/>
        </w:rPr>
        <w:t xml:space="preserve">or consumption-based </w:t>
      </w:r>
      <w:r w:rsidRPr="00EB744B">
        <w:rPr>
          <w:sz w:val="22"/>
          <w:szCs w:val="22"/>
        </w:rPr>
        <w:t xml:space="preserve">emissions. </w:t>
      </w:r>
    </w:p>
    <w:p w14:paraId="581F36F7" w14:textId="400E8420" w:rsidR="00F92FA6" w:rsidRPr="00EB744B" w:rsidRDefault="00F92FA6" w:rsidP="00F92FA6">
      <w:pPr>
        <w:rPr>
          <w:sz w:val="22"/>
          <w:szCs w:val="22"/>
          <w:u w:val="single"/>
        </w:rPr>
      </w:pPr>
    </w:p>
    <w:p w14:paraId="07EF90C7" w14:textId="0A40CB28" w:rsidR="00F92FA6" w:rsidRPr="00EB744B" w:rsidRDefault="00F92FA6" w:rsidP="00F92FA6">
      <w:pPr>
        <w:rPr>
          <w:sz w:val="22"/>
          <w:szCs w:val="22"/>
        </w:rPr>
      </w:pPr>
      <w:r w:rsidRPr="00EB744B">
        <w:rPr>
          <w:sz w:val="22"/>
          <w:szCs w:val="22"/>
        </w:rPr>
        <w:t xml:space="preserve">In this report, we focus on scope 1 and 2 emissions, and we exclude consideration of long-distance travel and of </w:t>
      </w:r>
      <w:r w:rsidR="00373C1C" w:rsidRPr="00EB744B">
        <w:rPr>
          <w:sz w:val="22"/>
          <w:szCs w:val="22"/>
        </w:rPr>
        <w:t xml:space="preserve">scope 3 or consumption-based emissions. We do this because scope 1 and 2 emissions are more directly under the control of actors within an area, and because the carbon accounting and management options for these emissions are better developed. We stress though that emissions from longer distance </w:t>
      </w:r>
      <w:r w:rsidR="0007584F" w:rsidRPr="00EB744B">
        <w:rPr>
          <w:sz w:val="22"/>
          <w:szCs w:val="22"/>
        </w:rPr>
        <w:t>travel</w:t>
      </w:r>
      <w:r w:rsidR="00373C1C" w:rsidRPr="00EB744B">
        <w:rPr>
          <w:sz w:val="22"/>
          <w:szCs w:val="22"/>
        </w:rPr>
        <w:t xml:space="preserve"> </w:t>
      </w:r>
      <w:r w:rsidR="00DD2F9F" w:rsidRPr="00EB744B">
        <w:rPr>
          <w:sz w:val="22"/>
          <w:szCs w:val="22"/>
        </w:rPr>
        <w:t xml:space="preserve">(especially aviation) </w:t>
      </w:r>
      <w:r w:rsidR="00373C1C" w:rsidRPr="00EB744B">
        <w:rPr>
          <w:sz w:val="22"/>
          <w:szCs w:val="22"/>
        </w:rPr>
        <w:t>and consumption are very significant, and also need to be addressed.</w:t>
      </w:r>
    </w:p>
    <w:p w14:paraId="280CAF85" w14:textId="4D93E488" w:rsidR="00F75573" w:rsidRPr="00EB744B" w:rsidRDefault="00F75573" w:rsidP="00373C1C">
      <w:pPr>
        <w:rPr>
          <w:sz w:val="22"/>
          <w:szCs w:val="22"/>
          <w:u w:val="single"/>
        </w:rPr>
      </w:pPr>
    </w:p>
    <w:p w14:paraId="3DB30235" w14:textId="77777777" w:rsidR="001B7362" w:rsidRPr="00EB744B" w:rsidRDefault="001B7362" w:rsidP="00373C1C">
      <w:pPr>
        <w:rPr>
          <w:sz w:val="22"/>
          <w:szCs w:val="22"/>
          <w:u w:val="single"/>
        </w:rPr>
      </w:pPr>
    </w:p>
    <w:p w14:paraId="5BB88614" w14:textId="4E65B7C9" w:rsidR="007F2860" w:rsidRPr="00EB744B" w:rsidRDefault="00F815B7" w:rsidP="007F2860">
      <w:pPr>
        <w:pStyle w:val="Heading2"/>
        <w:rPr>
          <w:rFonts w:asciiTheme="minorHAnsi" w:hAnsiTheme="minorHAnsi"/>
          <w:b/>
          <w:sz w:val="22"/>
          <w:szCs w:val="22"/>
        </w:rPr>
      </w:pPr>
      <w:r w:rsidRPr="00D05C65">
        <w:rPr>
          <w:rFonts w:asciiTheme="minorHAnsi" w:hAnsiTheme="minorHAnsi"/>
          <w:b/>
          <w:sz w:val="22"/>
          <w:szCs w:val="22"/>
        </w:rPr>
        <w:t>Yorkshire and Humber</w:t>
      </w:r>
      <w:r w:rsidR="00373C1C" w:rsidRPr="00EB744B">
        <w:rPr>
          <w:rFonts w:asciiTheme="minorHAnsi" w:hAnsiTheme="minorHAnsi"/>
          <w:b/>
          <w:sz w:val="22"/>
          <w:szCs w:val="22"/>
        </w:rPr>
        <w:t xml:space="preserve">’s </w:t>
      </w:r>
      <w:r w:rsidR="00152304" w:rsidRPr="00EB744B">
        <w:rPr>
          <w:rFonts w:asciiTheme="minorHAnsi" w:hAnsiTheme="minorHAnsi"/>
          <w:b/>
          <w:sz w:val="22"/>
          <w:szCs w:val="22"/>
        </w:rPr>
        <w:t>Baseline</w:t>
      </w:r>
      <w:r w:rsidR="007F2860" w:rsidRPr="00EB744B">
        <w:rPr>
          <w:rFonts w:asciiTheme="minorHAnsi" w:hAnsiTheme="minorHAnsi"/>
          <w:b/>
          <w:sz w:val="22"/>
          <w:szCs w:val="22"/>
        </w:rPr>
        <w:t xml:space="preserve"> Emissions</w:t>
      </w:r>
      <w:r w:rsidR="00373C1C" w:rsidRPr="00EB744B">
        <w:rPr>
          <w:rFonts w:asciiTheme="minorHAnsi" w:hAnsiTheme="minorHAnsi"/>
          <w:b/>
          <w:sz w:val="22"/>
          <w:szCs w:val="22"/>
        </w:rPr>
        <w:t xml:space="preserve"> </w:t>
      </w:r>
    </w:p>
    <w:p w14:paraId="301DAD2E" w14:textId="00BAC793" w:rsidR="007F2860" w:rsidRPr="00EB744B" w:rsidRDefault="007F2860" w:rsidP="007F2860">
      <w:pPr>
        <w:rPr>
          <w:sz w:val="22"/>
          <w:szCs w:val="22"/>
        </w:rPr>
      </w:pPr>
    </w:p>
    <w:p w14:paraId="56DA6D11" w14:textId="36B0C5E6" w:rsidR="0007584F" w:rsidRPr="00EB744B" w:rsidRDefault="0007584F" w:rsidP="00F12E6E">
      <w:pPr>
        <w:rPr>
          <w:sz w:val="22"/>
          <w:szCs w:val="22"/>
        </w:rPr>
      </w:pPr>
      <w:r w:rsidRPr="00EB744B">
        <w:rPr>
          <w:sz w:val="22"/>
          <w:szCs w:val="22"/>
        </w:rPr>
        <w:t xml:space="preserve">Analysis shows </w:t>
      </w:r>
      <w:r w:rsidRPr="00D05C65">
        <w:rPr>
          <w:sz w:val="22"/>
          <w:szCs w:val="22"/>
        </w:rPr>
        <w:t xml:space="preserve">that </w:t>
      </w:r>
      <w:r w:rsidR="00F815B7" w:rsidRPr="00D05C65">
        <w:rPr>
          <w:rFonts w:eastAsia="Times New Roman" w:cs="Times New Roman"/>
          <w:color w:val="000000" w:themeColor="text1"/>
          <w:sz w:val="22"/>
          <w:szCs w:val="22"/>
          <w:lang w:eastAsia="zh-CN"/>
        </w:rPr>
        <w:t>Yorkshire and Humber</w:t>
      </w:r>
      <w:r w:rsidR="007F2860" w:rsidRPr="00D05C65">
        <w:rPr>
          <w:sz w:val="22"/>
          <w:szCs w:val="22"/>
        </w:rPr>
        <w:t>’s baseline (scope 1 and</w:t>
      </w:r>
      <w:r w:rsidR="007F2860" w:rsidRPr="00EB744B">
        <w:rPr>
          <w:sz w:val="22"/>
          <w:szCs w:val="22"/>
        </w:rPr>
        <w:t xml:space="preserve"> 2) emissions have fallen by </w:t>
      </w:r>
      <w:r w:rsidR="00D05C65" w:rsidRPr="004E1028">
        <w:rPr>
          <w:sz w:val="22"/>
          <w:szCs w:val="22"/>
        </w:rPr>
        <w:t>37</w:t>
      </w:r>
      <w:r w:rsidR="007F2860" w:rsidRPr="004E1028">
        <w:rPr>
          <w:sz w:val="22"/>
          <w:szCs w:val="22"/>
        </w:rPr>
        <w:t>%</w:t>
      </w:r>
      <w:r w:rsidR="007F2860" w:rsidRPr="00EB744B">
        <w:rPr>
          <w:sz w:val="22"/>
          <w:szCs w:val="22"/>
        </w:rPr>
        <w:t xml:space="preserve"> since 2005, due to a combination of increasingly decarbonised electricity supply, structural change in the economy, and the gradual adoption of more efficient buildings, vehicles and businesses. </w:t>
      </w:r>
    </w:p>
    <w:p w14:paraId="7E777CFE" w14:textId="77777777" w:rsidR="0007584F" w:rsidRPr="00EB744B" w:rsidRDefault="0007584F" w:rsidP="007F2860">
      <w:pPr>
        <w:rPr>
          <w:sz w:val="22"/>
          <w:szCs w:val="22"/>
        </w:rPr>
      </w:pPr>
    </w:p>
    <w:p w14:paraId="3329330E" w14:textId="03DDEE80" w:rsidR="007F2860" w:rsidRPr="00EB744B" w:rsidRDefault="007F2860" w:rsidP="00862862">
      <w:pPr>
        <w:rPr>
          <w:sz w:val="22"/>
          <w:szCs w:val="22"/>
        </w:rPr>
      </w:pPr>
      <w:r w:rsidRPr="00EB744B">
        <w:rPr>
          <w:sz w:val="22"/>
          <w:szCs w:val="22"/>
        </w:rPr>
        <w:lastRenderedPageBreak/>
        <w:t xml:space="preserve">With </w:t>
      </w:r>
      <w:r w:rsidR="00DD2F9F" w:rsidRPr="00EB744B">
        <w:rPr>
          <w:sz w:val="22"/>
          <w:szCs w:val="22"/>
        </w:rPr>
        <w:t xml:space="preserve">full </w:t>
      </w:r>
      <w:r w:rsidRPr="00EB744B">
        <w:rPr>
          <w:sz w:val="22"/>
          <w:szCs w:val="22"/>
        </w:rPr>
        <w:t xml:space="preserve">decarbonisation of </w:t>
      </w:r>
      <w:r w:rsidR="00DD2F9F" w:rsidRPr="00EB744B">
        <w:rPr>
          <w:sz w:val="22"/>
          <w:szCs w:val="22"/>
        </w:rPr>
        <w:t xml:space="preserve">UK </w:t>
      </w:r>
      <w:r w:rsidRPr="00EB744B">
        <w:rPr>
          <w:sz w:val="22"/>
          <w:szCs w:val="22"/>
        </w:rPr>
        <w:t>electricity by 2045, and taking into account</w:t>
      </w:r>
      <w:r w:rsidR="00306F32" w:rsidRPr="00EB744B">
        <w:rPr>
          <w:sz w:val="22"/>
          <w:szCs w:val="22"/>
        </w:rPr>
        <w:t xml:space="preserve"> economic growth (assumed at 2.5</w:t>
      </w:r>
      <w:r w:rsidRPr="00EB744B">
        <w:rPr>
          <w:sz w:val="22"/>
          <w:szCs w:val="22"/>
        </w:rPr>
        <w:t xml:space="preserve">% p.a.), population growth (assumed at 0.1% p.a.) </w:t>
      </w:r>
      <w:r w:rsidRPr="00D05C65">
        <w:rPr>
          <w:sz w:val="22"/>
          <w:szCs w:val="22"/>
        </w:rPr>
        <w:t xml:space="preserve">and on-going improvements in </w:t>
      </w:r>
      <w:r w:rsidR="00DD2F9F" w:rsidRPr="00D05C65">
        <w:rPr>
          <w:sz w:val="22"/>
          <w:szCs w:val="22"/>
        </w:rPr>
        <w:t xml:space="preserve">energy and fuel </w:t>
      </w:r>
      <w:r w:rsidRPr="00D05C65">
        <w:rPr>
          <w:sz w:val="22"/>
          <w:szCs w:val="22"/>
        </w:rPr>
        <w:t>efficiency</w:t>
      </w:r>
      <w:r w:rsidR="00306F32" w:rsidRPr="00D05C65">
        <w:rPr>
          <w:sz w:val="22"/>
          <w:szCs w:val="22"/>
        </w:rPr>
        <w:t xml:space="preserve"> (assumed at 1% p.a)</w:t>
      </w:r>
      <w:r w:rsidRPr="00D05C65">
        <w:rPr>
          <w:sz w:val="22"/>
          <w:szCs w:val="22"/>
        </w:rPr>
        <w:t xml:space="preserve">, we project that </w:t>
      </w:r>
      <w:r w:rsidR="00F815B7" w:rsidRPr="00D05C65">
        <w:rPr>
          <w:rFonts w:eastAsia="Times New Roman" w:cs="Times New Roman"/>
          <w:color w:val="000000" w:themeColor="text1"/>
          <w:sz w:val="22"/>
          <w:szCs w:val="22"/>
          <w:lang w:eastAsia="zh-CN"/>
        </w:rPr>
        <w:t>Yorkshire and Humber</w:t>
      </w:r>
      <w:r w:rsidRPr="00D05C65">
        <w:rPr>
          <w:sz w:val="22"/>
          <w:szCs w:val="22"/>
        </w:rPr>
        <w:t xml:space="preserve">’s baseline (scope 1 and 2) emissions will fall by a further </w:t>
      </w:r>
      <w:r w:rsidR="00D05C65" w:rsidRPr="00D05C65">
        <w:rPr>
          <w:sz w:val="22"/>
          <w:szCs w:val="22"/>
        </w:rPr>
        <w:t>22</w:t>
      </w:r>
      <w:r w:rsidRPr="00D05C65">
        <w:rPr>
          <w:sz w:val="22"/>
          <w:szCs w:val="22"/>
        </w:rPr>
        <w:t xml:space="preserve">% by 2050, or by a total </w:t>
      </w:r>
      <w:r w:rsidR="00884B93" w:rsidRPr="00D05C65">
        <w:rPr>
          <w:sz w:val="22"/>
          <w:szCs w:val="22"/>
        </w:rPr>
        <w:t xml:space="preserve">of </w:t>
      </w:r>
      <w:r w:rsidR="00D05C65" w:rsidRPr="00D05C65">
        <w:rPr>
          <w:sz w:val="22"/>
          <w:szCs w:val="22"/>
        </w:rPr>
        <w:t>50</w:t>
      </w:r>
      <w:r w:rsidRPr="00D05C65">
        <w:rPr>
          <w:sz w:val="22"/>
          <w:szCs w:val="22"/>
        </w:rPr>
        <w:t>% between</w:t>
      </w:r>
      <w:r w:rsidRPr="00EB744B">
        <w:rPr>
          <w:sz w:val="22"/>
          <w:szCs w:val="22"/>
        </w:rPr>
        <w:t xml:space="preserve"> 2005 and 2050. </w:t>
      </w:r>
    </w:p>
    <w:p w14:paraId="6E5E2727" w14:textId="77777777" w:rsidR="007F2860" w:rsidRPr="00EB744B" w:rsidRDefault="007F2860" w:rsidP="00CC44A2">
      <w:pPr>
        <w:rPr>
          <w:sz w:val="22"/>
          <w:szCs w:val="22"/>
        </w:rPr>
      </w:pPr>
    </w:p>
    <w:p w14:paraId="6F878DF7" w14:textId="3B9A27A1" w:rsidR="00220F97" w:rsidRPr="00EB744B" w:rsidRDefault="00830349" w:rsidP="007E0737">
      <w:pPr>
        <w:jc w:val="center"/>
        <w:rPr>
          <w:sz w:val="22"/>
          <w:szCs w:val="22"/>
        </w:rPr>
      </w:pPr>
      <w:r>
        <w:rPr>
          <w:noProof/>
          <w:lang w:eastAsia="zh-CN"/>
        </w:rPr>
        <w:drawing>
          <wp:inline distT="0" distB="0" distL="0" distR="0" wp14:anchorId="23EF184B" wp14:editId="61C43212">
            <wp:extent cx="5727700" cy="300101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3001010"/>
                    </a:xfrm>
                    <a:prstGeom prst="rect">
                      <a:avLst/>
                    </a:prstGeom>
                  </pic:spPr>
                </pic:pic>
              </a:graphicData>
            </a:graphic>
          </wp:inline>
        </w:drawing>
      </w:r>
    </w:p>
    <w:p w14:paraId="3D2BE60A" w14:textId="77777777" w:rsidR="00E34A1A" w:rsidRPr="00EB744B" w:rsidRDefault="00E34A1A">
      <w:pPr>
        <w:rPr>
          <w:sz w:val="22"/>
          <w:szCs w:val="22"/>
        </w:rPr>
      </w:pPr>
    </w:p>
    <w:p w14:paraId="42568B8D" w14:textId="291A2123" w:rsidR="00B87C1B" w:rsidRPr="00EB744B" w:rsidRDefault="00E34A1A" w:rsidP="00862862">
      <w:pPr>
        <w:pStyle w:val="Caption"/>
        <w:jc w:val="center"/>
        <w:rPr>
          <w:sz w:val="22"/>
          <w:szCs w:val="22"/>
        </w:rPr>
      </w:pPr>
      <w:r w:rsidRPr="00EB744B">
        <w:rPr>
          <w:sz w:val="22"/>
          <w:szCs w:val="22"/>
        </w:rPr>
        <w:t xml:space="preserve">Figure </w:t>
      </w:r>
      <w:r w:rsidR="005262B0" w:rsidRPr="00EB744B">
        <w:rPr>
          <w:sz w:val="22"/>
          <w:szCs w:val="22"/>
        </w:rPr>
        <w:fldChar w:fldCharType="begin"/>
      </w:r>
      <w:r w:rsidR="005262B0" w:rsidRPr="00EB744B">
        <w:rPr>
          <w:sz w:val="22"/>
          <w:szCs w:val="22"/>
        </w:rPr>
        <w:instrText xml:space="preserve"> SEQ Figure \* ARABIC </w:instrText>
      </w:r>
      <w:r w:rsidR="005262B0" w:rsidRPr="00EB744B">
        <w:rPr>
          <w:sz w:val="22"/>
          <w:szCs w:val="22"/>
        </w:rPr>
        <w:fldChar w:fldCharType="separate"/>
      </w:r>
      <w:r w:rsidRPr="00EB744B">
        <w:rPr>
          <w:noProof/>
          <w:sz w:val="22"/>
          <w:szCs w:val="22"/>
        </w:rPr>
        <w:t>1</w:t>
      </w:r>
      <w:r w:rsidR="005262B0" w:rsidRPr="00EB744B">
        <w:rPr>
          <w:noProof/>
          <w:sz w:val="22"/>
          <w:szCs w:val="22"/>
        </w:rPr>
        <w:fldChar w:fldCharType="end"/>
      </w:r>
      <w:r w:rsidRPr="00EB744B">
        <w:rPr>
          <w:sz w:val="22"/>
          <w:szCs w:val="22"/>
        </w:rPr>
        <w:t xml:space="preserve">: </w:t>
      </w:r>
      <w:r w:rsidR="00B87C1B" w:rsidRPr="00EB744B">
        <w:rPr>
          <w:sz w:val="22"/>
          <w:szCs w:val="22"/>
        </w:rPr>
        <w:t xml:space="preserve">Scope 1 and 2 </w:t>
      </w:r>
      <w:r w:rsidRPr="00EB744B">
        <w:rPr>
          <w:sz w:val="22"/>
          <w:szCs w:val="22"/>
        </w:rPr>
        <w:t xml:space="preserve">GHG emissions 2005 to 2050 </w:t>
      </w:r>
      <w:r w:rsidRPr="00A91B71">
        <w:rPr>
          <w:sz w:val="22"/>
          <w:szCs w:val="22"/>
        </w:rPr>
        <w:t xml:space="preserve">for </w:t>
      </w:r>
      <w:r w:rsidR="00F815B7" w:rsidRPr="00A91B71">
        <w:rPr>
          <w:rFonts w:eastAsia="Times New Roman" w:cs="Times New Roman"/>
          <w:color w:val="000000" w:themeColor="text1"/>
          <w:sz w:val="22"/>
          <w:szCs w:val="22"/>
          <w:lang w:eastAsia="zh-CN"/>
        </w:rPr>
        <w:t>Yorkshire and Humber</w:t>
      </w:r>
    </w:p>
    <w:p w14:paraId="7A933F88" w14:textId="7DF92AE8" w:rsidR="007F2860" w:rsidRPr="00EB744B" w:rsidRDefault="007F2860">
      <w:pPr>
        <w:rPr>
          <w:sz w:val="22"/>
          <w:szCs w:val="22"/>
        </w:rPr>
      </w:pPr>
    </w:p>
    <w:p w14:paraId="5AEFF2B4" w14:textId="6DDB7528" w:rsidR="007F2860" w:rsidRPr="00EB744B" w:rsidRDefault="007F2860" w:rsidP="00862862">
      <w:pPr>
        <w:rPr>
          <w:sz w:val="22"/>
          <w:szCs w:val="22"/>
        </w:rPr>
      </w:pPr>
      <w:r w:rsidRPr="00EB744B">
        <w:rPr>
          <w:sz w:val="22"/>
          <w:szCs w:val="22"/>
        </w:rPr>
        <w:t>Currently</w:t>
      </w:r>
      <w:r w:rsidRPr="00A91B71">
        <w:rPr>
          <w:sz w:val="22"/>
          <w:szCs w:val="22"/>
        </w:rPr>
        <w:t xml:space="preserve">, </w:t>
      </w:r>
      <w:r w:rsidR="00A91B71" w:rsidRPr="00A91B71">
        <w:rPr>
          <w:sz w:val="22"/>
          <w:szCs w:val="22"/>
        </w:rPr>
        <w:t>28</w:t>
      </w:r>
      <w:r w:rsidR="00AE69AC" w:rsidRPr="00A91B71">
        <w:rPr>
          <w:sz w:val="22"/>
          <w:szCs w:val="22"/>
        </w:rPr>
        <w:t xml:space="preserve">% of </w:t>
      </w:r>
      <w:r w:rsidR="00F815B7" w:rsidRPr="00A91B71">
        <w:rPr>
          <w:rFonts w:eastAsia="Times New Roman" w:cs="Times New Roman"/>
          <w:color w:val="000000" w:themeColor="text1"/>
          <w:sz w:val="22"/>
          <w:szCs w:val="22"/>
          <w:lang w:eastAsia="zh-CN"/>
        </w:rPr>
        <w:t>Yorkshire and Humber</w:t>
      </w:r>
      <w:r w:rsidR="00095A4B" w:rsidRPr="00A91B71">
        <w:rPr>
          <w:sz w:val="22"/>
          <w:szCs w:val="22"/>
        </w:rPr>
        <w:t xml:space="preserve"> </w:t>
      </w:r>
      <w:r w:rsidRPr="00A91B71">
        <w:rPr>
          <w:sz w:val="22"/>
          <w:szCs w:val="22"/>
        </w:rPr>
        <w:t xml:space="preserve">’s emissions </w:t>
      </w:r>
      <w:r w:rsidR="00DD2163" w:rsidRPr="00A91B71">
        <w:rPr>
          <w:sz w:val="22"/>
          <w:szCs w:val="22"/>
        </w:rPr>
        <w:t xml:space="preserve">come from the transport sector, with </w:t>
      </w:r>
      <w:r w:rsidR="00A96B3F" w:rsidRPr="00A91B71">
        <w:rPr>
          <w:sz w:val="22"/>
          <w:szCs w:val="22"/>
        </w:rPr>
        <w:t xml:space="preserve">housing then responsible for </w:t>
      </w:r>
      <w:r w:rsidR="00A91B71" w:rsidRPr="00A91B71">
        <w:rPr>
          <w:sz w:val="22"/>
          <w:szCs w:val="22"/>
        </w:rPr>
        <w:t>28</w:t>
      </w:r>
      <w:r w:rsidR="00A96B3F" w:rsidRPr="00A91B71">
        <w:rPr>
          <w:sz w:val="22"/>
          <w:szCs w:val="22"/>
        </w:rPr>
        <w:t>%</w:t>
      </w:r>
      <w:r w:rsidR="00DD2163" w:rsidRPr="00A91B71">
        <w:rPr>
          <w:sz w:val="22"/>
          <w:szCs w:val="22"/>
        </w:rPr>
        <w:t xml:space="preserve"> of emissions, public and commercial buildings for </w:t>
      </w:r>
      <w:r w:rsidR="00A91B71" w:rsidRPr="00A91B71">
        <w:rPr>
          <w:sz w:val="22"/>
          <w:szCs w:val="22"/>
        </w:rPr>
        <w:t>26</w:t>
      </w:r>
      <w:r w:rsidR="00DD2163" w:rsidRPr="00A91B71">
        <w:rPr>
          <w:sz w:val="22"/>
          <w:szCs w:val="22"/>
        </w:rPr>
        <w:t xml:space="preserve">% and industry </w:t>
      </w:r>
      <w:r w:rsidR="00572244" w:rsidRPr="00A91B71">
        <w:rPr>
          <w:sz w:val="22"/>
          <w:szCs w:val="22"/>
        </w:rPr>
        <w:t>1</w:t>
      </w:r>
      <w:r w:rsidR="00A91B71" w:rsidRPr="00A91B71">
        <w:rPr>
          <w:sz w:val="22"/>
          <w:szCs w:val="22"/>
        </w:rPr>
        <w:t>8</w:t>
      </w:r>
      <w:r w:rsidR="00DD2163" w:rsidRPr="00A91B71">
        <w:rPr>
          <w:sz w:val="22"/>
          <w:szCs w:val="22"/>
        </w:rPr>
        <w:t>%. By 2050, we project</w:t>
      </w:r>
      <w:r w:rsidR="00443698" w:rsidRPr="00A91B71">
        <w:rPr>
          <w:sz w:val="22"/>
          <w:szCs w:val="22"/>
        </w:rPr>
        <w:t xml:space="preserve"> emissions from transport will remain the same</w:t>
      </w:r>
      <w:r w:rsidR="001B0AA6" w:rsidRPr="00A91B71">
        <w:rPr>
          <w:sz w:val="22"/>
          <w:szCs w:val="22"/>
        </w:rPr>
        <w:t xml:space="preserve"> with </w:t>
      </w:r>
      <w:r w:rsidR="0071599C" w:rsidRPr="00A91B71">
        <w:rPr>
          <w:sz w:val="22"/>
          <w:szCs w:val="22"/>
        </w:rPr>
        <w:t>an</w:t>
      </w:r>
      <w:r w:rsidR="00AE69AC" w:rsidRPr="00A91B71">
        <w:rPr>
          <w:sz w:val="22"/>
          <w:szCs w:val="22"/>
        </w:rPr>
        <w:t xml:space="preserve"> increase in the proportion of emissions from </w:t>
      </w:r>
      <w:r w:rsidR="00F5362B" w:rsidRPr="00A91B71">
        <w:rPr>
          <w:sz w:val="22"/>
          <w:szCs w:val="22"/>
        </w:rPr>
        <w:t>housing</w:t>
      </w:r>
      <w:r w:rsidR="00DD2163" w:rsidRPr="00A91B71">
        <w:rPr>
          <w:sz w:val="22"/>
          <w:szCs w:val="22"/>
        </w:rPr>
        <w:t xml:space="preserve"> </w:t>
      </w:r>
      <w:r w:rsidR="0031307B" w:rsidRPr="00A91B71">
        <w:rPr>
          <w:sz w:val="22"/>
          <w:szCs w:val="22"/>
        </w:rPr>
        <w:t>and a</w:t>
      </w:r>
      <w:r w:rsidR="00AE69AC" w:rsidRPr="00A91B71">
        <w:rPr>
          <w:sz w:val="22"/>
          <w:szCs w:val="22"/>
        </w:rPr>
        <w:t xml:space="preserve"> </w:t>
      </w:r>
      <w:r w:rsidR="00DD2163" w:rsidRPr="00A91B71">
        <w:rPr>
          <w:sz w:val="22"/>
          <w:szCs w:val="22"/>
        </w:rPr>
        <w:t>small decrease in the proportion of emissions from public/commercial buildings and industry.</w:t>
      </w:r>
    </w:p>
    <w:p w14:paraId="28338EAD" w14:textId="77777777" w:rsidR="007F2860" w:rsidRPr="00EB744B" w:rsidRDefault="007F2860" w:rsidP="007F2860">
      <w:pPr>
        <w:rPr>
          <w:sz w:val="22"/>
          <w:szCs w:val="22"/>
        </w:rPr>
      </w:pPr>
    </w:p>
    <w:p w14:paraId="49094E5F" w14:textId="77777777" w:rsidR="00821E5E" w:rsidRPr="00EB744B" w:rsidRDefault="00821E5E">
      <w:pPr>
        <w:rPr>
          <w:sz w:val="22"/>
          <w:szCs w:val="22"/>
        </w:rPr>
      </w:pPr>
    </w:p>
    <w:p w14:paraId="284FF87A" w14:textId="7FC8E4C0" w:rsidR="00F87CD8" w:rsidRPr="00EB744B" w:rsidRDefault="00A91B71" w:rsidP="00CC44A2">
      <w:pPr>
        <w:jc w:val="center"/>
        <w:rPr>
          <w:sz w:val="22"/>
          <w:szCs w:val="22"/>
        </w:rPr>
      </w:pPr>
      <w:r>
        <w:rPr>
          <w:noProof/>
          <w:lang w:eastAsia="zh-CN"/>
        </w:rPr>
        <w:drawing>
          <wp:inline distT="0" distB="0" distL="0" distR="0" wp14:anchorId="58FC8CEA" wp14:editId="02F918E7">
            <wp:extent cx="5727700" cy="226695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27700" cy="2266950"/>
                    </a:xfrm>
                    <a:prstGeom prst="rect">
                      <a:avLst/>
                    </a:prstGeom>
                  </pic:spPr>
                </pic:pic>
              </a:graphicData>
            </a:graphic>
          </wp:inline>
        </w:drawing>
      </w:r>
    </w:p>
    <w:p w14:paraId="1EFC330B" w14:textId="77777777" w:rsidR="00F87CD8" w:rsidRPr="00EB744B" w:rsidRDefault="00F87CD8">
      <w:pPr>
        <w:rPr>
          <w:sz w:val="22"/>
          <w:szCs w:val="22"/>
        </w:rPr>
      </w:pPr>
    </w:p>
    <w:p w14:paraId="23965D1E" w14:textId="77777777" w:rsidR="00F87CD8" w:rsidRPr="00EB744B" w:rsidRDefault="00F87CD8" w:rsidP="0032161C">
      <w:pPr>
        <w:pStyle w:val="Caption"/>
        <w:jc w:val="center"/>
        <w:rPr>
          <w:sz w:val="22"/>
          <w:szCs w:val="22"/>
        </w:rPr>
      </w:pPr>
      <w:r w:rsidRPr="00EB744B">
        <w:rPr>
          <w:sz w:val="22"/>
          <w:szCs w:val="22"/>
        </w:rPr>
        <w:t xml:space="preserve">Figure </w:t>
      </w:r>
      <w:r w:rsidR="005262B0" w:rsidRPr="00EB744B">
        <w:rPr>
          <w:sz w:val="22"/>
          <w:szCs w:val="22"/>
        </w:rPr>
        <w:fldChar w:fldCharType="begin"/>
      </w:r>
      <w:r w:rsidR="005262B0" w:rsidRPr="00EB744B">
        <w:rPr>
          <w:sz w:val="22"/>
          <w:szCs w:val="22"/>
        </w:rPr>
        <w:instrText xml:space="preserve"> SEQ Figure \* ARABIC </w:instrText>
      </w:r>
      <w:r w:rsidR="005262B0" w:rsidRPr="00EB744B">
        <w:rPr>
          <w:sz w:val="22"/>
          <w:szCs w:val="22"/>
        </w:rPr>
        <w:fldChar w:fldCharType="separate"/>
      </w:r>
      <w:r w:rsidRPr="00EB744B">
        <w:rPr>
          <w:noProof/>
          <w:sz w:val="22"/>
          <w:szCs w:val="22"/>
        </w:rPr>
        <w:t>2</w:t>
      </w:r>
      <w:r w:rsidR="005262B0" w:rsidRPr="00EB744B">
        <w:rPr>
          <w:noProof/>
          <w:sz w:val="22"/>
          <w:szCs w:val="22"/>
        </w:rPr>
        <w:fldChar w:fldCharType="end"/>
      </w:r>
      <w:r w:rsidRPr="00EB744B">
        <w:rPr>
          <w:sz w:val="22"/>
          <w:szCs w:val="22"/>
        </w:rPr>
        <w:t>: Emissions by sector</w:t>
      </w:r>
    </w:p>
    <w:p w14:paraId="6E3F20C1" w14:textId="77777777" w:rsidR="00033B88" w:rsidRPr="00EB744B" w:rsidRDefault="00033B88" w:rsidP="00033B88">
      <w:pPr>
        <w:rPr>
          <w:b/>
          <w:sz w:val="22"/>
          <w:szCs w:val="22"/>
          <w:u w:val="single"/>
        </w:rPr>
      </w:pPr>
    </w:p>
    <w:p w14:paraId="6773323F" w14:textId="656EE516" w:rsidR="002B78A7" w:rsidRPr="00EB744B" w:rsidRDefault="002B78A7" w:rsidP="00862862">
      <w:pPr>
        <w:pStyle w:val="Heading2"/>
        <w:rPr>
          <w:rFonts w:asciiTheme="minorHAnsi" w:hAnsiTheme="minorHAnsi"/>
          <w:b/>
          <w:sz w:val="22"/>
          <w:szCs w:val="22"/>
        </w:rPr>
      </w:pPr>
      <w:r w:rsidRPr="00EB744B">
        <w:rPr>
          <w:rFonts w:asciiTheme="minorHAnsi" w:hAnsiTheme="minorHAnsi"/>
          <w:b/>
          <w:sz w:val="22"/>
          <w:szCs w:val="22"/>
        </w:rPr>
        <w:lastRenderedPageBreak/>
        <w:t xml:space="preserve">Science-based </w:t>
      </w:r>
      <w:r w:rsidR="009237C2" w:rsidRPr="00A91B71">
        <w:rPr>
          <w:rFonts w:asciiTheme="minorHAnsi" w:hAnsiTheme="minorHAnsi"/>
          <w:b/>
          <w:sz w:val="22"/>
          <w:szCs w:val="22"/>
        </w:rPr>
        <w:t>t</w:t>
      </w:r>
      <w:r w:rsidRPr="00A91B71">
        <w:rPr>
          <w:rFonts w:asciiTheme="minorHAnsi" w:hAnsiTheme="minorHAnsi"/>
          <w:b/>
          <w:sz w:val="22"/>
          <w:szCs w:val="22"/>
        </w:rPr>
        <w:t>arget</w:t>
      </w:r>
      <w:r w:rsidR="00B87C1B" w:rsidRPr="00A91B71">
        <w:rPr>
          <w:rFonts w:asciiTheme="minorHAnsi" w:hAnsiTheme="minorHAnsi"/>
          <w:b/>
          <w:sz w:val="22"/>
          <w:szCs w:val="22"/>
        </w:rPr>
        <w:t>s</w:t>
      </w:r>
      <w:r w:rsidR="00EF01EE" w:rsidRPr="00A91B71">
        <w:rPr>
          <w:rFonts w:asciiTheme="minorHAnsi" w:hAnsiTheme="minorHAnsi"/>
          <w:b/>
          <w:sz w:val="22"/>
          <w:szCs w:val="22"/>
        </w:rPr>
        <w:t xml:space="preserve"> for </w:t>
      </w:r>
      <w:r w:rsidR="00F815B7" w:rsidRPr="00A91B71">
        <w:rPr>
          <w:rFonts w:asciiTheme="minorHAnsi" w:hAnsiTheme="minorHAnsi"/>
          <w:b/>
          <w:sz w:val="22"/>
          <w:szCs w:val="22"/>
        </w:rPr>
        <w:t>Yorkshire and Humber</w:t>
      </w:r>
    </w:p>
    <w:p w14:paraId="6928FD56" w14:textId="22228558" w:rsidR="002B78A7" w:rsidRPr="00EB744B" w:rsidRDefault="002B78A7" w:rsidP="000F0BF1">
      <w:pPr>
        <w:rPr>
          <w:sz w:val="22"/>
          <w:szCs w:val="22"/>
        </w:rPr>
      </w:pPr>
    </w:p>
    <w:p w14:paraId="23E3DADF" w14:textId="06A0F8CA" w:rsidR="0007584F" w:rsidRPr="00EB744B" w:rsidRDefault="00DD2163" w:rsidP="00862862">
      <w:pPr>
        <w:rPr>
          <w:sz w:val="22"/>
          <w:szCs w:val="22"/>
        </w:rPr>
      </w:pPr>
      <w:r w:rsidRPr="00EB744B">
        <w:rPr>
          <w:sz w:val="22"/>
          <w:szCs w:val="22"/>
        </w:rPr>
        <w:t xml:space="preserve">The Inter-governmental Panel on Climate Change (IPCC) has argued that </w:t>
      </w:r>
      <w:r w:rsidR="00AE69AC" w:rsidRPr="00EB744B">
        <w:rPr>
          <w:sz w:val="22"/>
          <w:szCs w:val="22"/>
        </w:rPr>
        <w:t xml:space="preserve">from 2020, keeping within </w:t>
      </w:r>
      <w:r w:rsidRPr="00EB744B">
        <w:rPr>
          <w:sz w:val="22"/>
          <w:szCs w:val="22"/>
        </w:rPr>
        <w:t xml:space="preserve">a global carbon budget of </w:t>
      </w:r>
      <w:r w:rsidR="00A12DAD" w:rsidRPr="00EB744B">
        <w:rPr>
          <w:sz w:val="22"/>
          <w:szCs w:val="22"/>
        </w:rPr>
        <w:t xml:space="preserve">344 </w:t>
      </w:r>
      <w:proofErr w:type="spellStart"/>
      <w:r w:rsidR="00AE69AC" w:rsidRPr="00EB744B">
        <w:rPr>
          <w:sz w:val="22"/>
          <w:szCs w:val="22"/>
        </w:rPr>
        <w:t>giga</w:t>
      </w:r>
      <w:r w:rsidR="00A12DAD" w:rsidRPr="00EB744B">
        <w:rPr>
          <w:sz w:val="22"/>
          <w:szCs w:val="22"/>
        </w:rPr>
        <w:t>t</w:t>
      </w:r>
      <w:r w:rsidR="00AE69AC" w:rsidRPr="00EB744B">
        <w:rPr>
          <w:sz w:val="22"/>
          <w:szCs w:val="22"/>
        </w:rPr>
        <w:t>onnes</w:t>
      </w:r>
      <w:proofErr w:type="spellEnd"/>
      <w:r w:rsidR="00AE69AC" w:rsidRPr="00EB744B">
        <w:rPr>
          <w:sz w:val="22"/>
          <w:szCs w:val="22"/>
        </w:rPr>
        <w:t xml:space="preserve"> (</w:t>
      </w:r>
      <w:r w:rsidR="008C0C22" w:rsidRPr="00EB744B">
        <w:rPr>
          <w:sz w:val="22"/>
          <w:szCs w:val="22"/>
        </w:rPr>
        <w:t xml:space="preserve">i.e. </w:t>
      </w:r>
      <w:r w:rsidR="00AE69AC" w:rsidRPr="00EB744B">
        <w:rPr>
          <w:sz w:val="22"/>
          <w:szCs w:val="22"/>
        </w:rPr>
        <w:t>344 billion tonnes)</w:t>
      </w:r>
      <w:r w:rsidRPr="00EB744B">
        <w:rPr>
          <w:sz w:val="22"/>
          <w:szCs w:val="22"/>
        </w:rPr>
        <w:t xml:space="preserve"> </w:t>
      </w:r>
      <w:r w:rsidR="00AE69AC" w:rsidRPr="00EB744B">
        <w:rPr>
          <w:sz w:val="22"/>
          <w:szCs w:val="22"/>
        </w:rPr>
        <w:t xml:space="preserve">of GHG emissions </w:t>
      </w:r>
      <w:r w:rsidRPr="00EB744B">
        <w:rPr>
          <w:sz w:val="22"/>
          <w:szCs w:val="22"/>
        </w:rPr>
        <w:t>would give us a 66% chance of limiting average warming to 1.5 degrees</w:t>
      </w:r>
      <w:r w:rsidR="0007584F" w:rsidRPr="00EB744B">
        <w:rPr>
          <w:sz w:val="22"/>
          <w:szCs w:val="22"/>
        </w:rPr>
        <w:t xml:space="preserve"> and therefore avoiding dangerous levels of climate change</w:t>
      </w:r>
      <w:r w:rsidRPr="00EB744B">
        <w:rPr>
          <w:sz w:val="22"/>
          <w:szCs w:val="22"/>
        </w:rPr>
        <w:t xml:space="preserve">. If we divide this global figure up on an </w:t>
      </w:r>
      <w:r w:rsidRPr="00772ED5">
        <w:rPr>
          <w:sz w:val="22"/>
          <w:szCs w:val="22"/>
        </w:rPr>
        <w:t xml:space="preserve">equal basis by population, this gives </w:t>
      </w:r>
      <w:r w:rsidR="00F815B7" w:rsidRPr="00772ED5">
        <w:rPr>
          <w:rFonts w:eastAsia="Times New Roman" w:cs="Times New Roman"/>
          <w:color w:val="000000" w:themeColor="text1"/>
          <w:sz w:val="22"/>
          <w:szCs w:val="22"/>
          <w:lang w:eastAsia="zh-CN"/>
        </w:rPr>
        <w:t>Yorkshire and Humber</w:t>
      </w:r>
      <w:r w:rsidRPr="00772ED5">
        <w:rPr>
          <w:sz w:val="22"/>
          <w:szCs w:val="22"/>
        </w:rPr>
        <w:t xml:space="preserve"> a total carbon budget of </w:t>
      </w:r>
      <w:r w:rsidR="00772ED5" w:rsidRPr="00772ED5">
        <w:rPr>
          <w:sz w:val="22"/>
          <w:szCs w:val="22"/>
        </w:rPr>
        <w:t>47.6</w:t>
      </w:r>
      <w:r w:rsidR="008C0C22" w:rsidRPr="00772ED5">
        <w:rPr>
          <w:sz w:val="22"/>
          <w:szCs w:val="22"/>
        </w:rPr>
        <w:t xml:space="preserve"> </w:t>
      </w:r>
      <w:proofErr w:type="spellStart"/>
      <w:r w:rsidR="008C0C22" w:rsidRPr="00772ED5">
        <w:rPr>
          <w:sz w:val="22"/>
          <w:szCs w:val="22"/>
        </w:rPr>
        <w:t>megatonnes</w:t>
      </w:r>
      <w:proofErr w:type="spellEnd"/>
      <w:r w:rsidR="008C0C22" w:rsidRPr="00772ED5">
        <w:rPr>
          <w:sz w:val="22"/>
          <w:szCs w:val="22"/>
        </w:rPr>
        <w:t xml:space="preserve"> (i.e. </w:t>
      </w:r>
      <w:r w:rsidR="00772ED5" w:rsidRPr="00772ED5">
        <w:rPr>
          <w:sz w:val="22"/>
          <w:szCs w:val="22"/>
        </w:rPr>
        <w:t>47.6</w:t>
      </w:r>
      <w:r w:rsidR="00772ED5">
        <w:rPr>
          <w:sz w:val="22"/>
          <w:szCs w:val="22"/>
        </w:rPr>
        <w:t xml:space="preserve"> </w:t>
      </w:r>
      <w:r w:rsidR="008C0C22" w:rsidRPr="00EB744B">
        <w:rPr>
          <w:sz w:val="22"/>
          <w:szCs w:val="22"/>
        </w:rPr>
        <w:t>million tonnes) from 2020</w:t>
      </w:r>
      <w:r w:rsidRPr="00EB744B">
        <w:rPr>
          <w:sz w:val="22"/>
          <w:szCs w:val="22"/>
        </w:rPr>
        <w:t xml:space="preserve">. </w:t>
      </w:r>
    </w:p>
    <w:p w14:paraId="648D9623" w14:textId="77777777" w:rsidR="0007584F" w:rsidRPr="00EB744B" w:rsidRDefault="0007584F" w:rsidP="000F0BF1">
      <w:pPr>
        <w:rPr>
          <w:sz w:val="22"/>
          <w:szCs w:val="22"/>
        </w:rPr>
      </w:pPr>
    </w:p>
    <w:p w14:paraId="15F89B52" w14:textId="7CAC43C1" w:rsidR="00DD2163" w:rsidRPr="00EB744B" w:rsidRDefault="00DD2163" w:rsidP="00862862">
      <w:pPr>
        <w:rPr>
          <w:sz w:val="22"/>
          <w:szCs w:val="22"/>
        </w:rPr>
      </w:pPr>
      <w:r w:rsidRPr="00EB744B">
        <w:rPr>
          <w:sz w:val="22"/>
          <w:szCs w:val="22"/>
        </w:rPr>
        <w:t>At current rates</w:t>
      </w:r>
      <w:r w:rsidRPr="00E276A9">
        <w:rPr>
          <w:sz w:val="22"/>
          <w:szCs w:val="22"/>
        </w:rPr>
        <w:t xml:space="preserve">, </w:t>
      </w:r>
      <w:r w:rsidR="00F815B7" w:rsidRPr="00E276A9">
        <w:rPr>
          <w:rFonts w:eastAsia="Times New Roman" w:cs="Times New Roman"/>
          <w:color w:val="000000" w:themeColor="text1"/>
          <w:sz w:val="22"/>
          <w:szCs w:val="22"/>
          <w:lang w:eastAsia="zh-CN"/>
        </w:rPr>
        <w:t>Yorkshire and Humber</w:t>
      </w:r>
      <w:r w:rsidR="001B4671" w:rsidRPr="00E276A9">
        <w:rPr>
          <w:sz w:val="22"/>
          <w:szCs w:val="22"/>
        </w:rPr>
        <w:t xml:space="preserve"> </w:t>
      </w:r>
      <w:r w:rsidRPr="00E276A9">
        <w:rPr>
          <w:sz w:val="22"/>
          <w:szCs w:val="22"/>
        </w:rPr>
        <w:t xml:space="preserve">would use up this budget in </w:t>
      </w:r>
      <w:r w:rsidR="008C0C22" w:rsidRPr="00E276A9">
        <w:rPr>
          <w:sz w:val="22"/>
          <w:szCs w:val="22"/>
        </w:rPr>
        <w:t xml:space="preserve">just over </w:t>
      </w:r>
      <w:r w:rsidR="00E276A9" w:rsidRPr="00E276A9">
        <w:rPr>
          <w:sz w:val="22"/>
          <w:szCs w:val="22"/>
        </w:rPr>
        <w:t>5</w:t>
      </w:r>
      <w:r w:rsidRPr="00E276A9">
        <w:rPr>
          <w:sz w:val="22"/>
          <w:szCs w:val="22"/>
        </w:rPr>
        <w:t xml:space="preserve"> years. However, </w:t>
      </w:r>
      <w:r w:rsidR="00F815B7" w:rsidRPr="00E276A9">
        <w:rPr>
          <w:rFonts w:eastAsia="Times New Roman" w:cs="Times New Roman"/>
          <w:color w:val="000000" w:themeColor="text1"/>
          <w:sz w:val="22"/>
          <w:szCs w:val="22"/>
          <w:lang w:eastAsia="zh-CN"/>
        </w:rPr>
        <w:t>Yorkshire and Humber</w:t>
      </w:r>
      <w:r w:rsidRPr="00E276A9">
        <w:rPr>
          <w:sz w:val="22"/>
          <w:szCs w:val="22"/>
        </w:rPr>
        <w:t xml:space="preserve"> could stay within its carbon budget by reducing its emissions </w:t>
      </w:r>
      <w:r w:rsidR="00AF3C4B" w:rsidRPr="00E276A9">
        <w:rPr>
          <w:sz w:val="22"/>
          <w:szCs w:val="22"/>
        </w:rPr>
        <w:t>b</w:t>
      </w:r>
      <w:r w:rsidR="00837F54" w:rsidRPr="00E276A9">
        <w:rPr>
          <w:sz w:val="22"/>
          <w:szCs w:val="22"/>
        </w:rPr>
        <w:t xml:space="preserve">y </w:t>
      </w:r>
      <w:r w:rsidR="00E276A9" w:rsidRPr="00E276A9">
        <w:rPr>
          <w:sz w:val="22"/>
          <w:szCs w:val="22"/>
        </w:rPr>
        <w:t>12</w:t>
      </w:r>
      <w:r w:rsidR="00837F54" w:rsidRPr="00E276A9">
        <w:rPr>
          <w:sz w:val="22"/>
          <w:szCs w:val="22"/>
        </w:rPr>
        <w:t>.3</w:t>
      </w:r>
      <w:r w:rsidRPr="00E276A9">
        <w:rPr>
          <w:sz w:val="22"/>
          <w:szCs w:val="22"/>
        </w:rPr>
        <w:t>% year</w:t>
      </w:r>
      <w:r w:rsidR="00AE69AC" w:rsidRPr="00E276A9">
        <w:rPr>
          <w:sz w:val="22"/>
          <w:szCs w:val="22"/>
        </w:rPr>
        <w:t xml:space="preserve"> on year</w:t>
      </w:r>
      <w:r w:rsidRPr="00E276A9">
        <w:rPr>
          <w:sz w:val="22"/>
          <w:szCs w:val="22"/>
        </w:rPr>
        <w:t>.</w:t>
      </w:r>
      <w:r w:rsidR="0007584F" w:rsidRPr="00E276A9">
        <w:rPr>
          <w:sz w:val="22"/>
          <w:szCs w:val="22"/>
        </w:rPr>
        <w:t xml:space="preserve"> </w:t>
      </w:r>
      <w:r w:rsidRPr="00E276A9">
        <w:rPr>
          <w:sz w:val="22"/>
          <w:szCs w:val="22"/>
        </w:rPr>
        <w:t xml:space="preserve">This would mean that </w:t>
      </w:r>
      <w:r w:rsidR="00F815B7" w:rsidRPr="00E276A9">
        <w:rPr>
          <w:rFonts w:eastAsia="Times New Roman" w:cs="Times New Roman"/>
          <w:color w:val="000000" w:themeColor="text1"/>
          <w:sz w:val="22"/>
          <w:szCs w:val="22"/>
          <w:lang w:eastAsia="zh-CN"/>
        </w:rPr>
        <w:t>Yorkshire and Humber</w:t>
      </w:r>
      <w:r w:rsidR="00837F54" w:rsidRPr="00E276A9">
        <w:rPr>
          <w:sz w:val="22"/>
          <w:szCs w:val="22"/>
        </w:rPr>
        <w:t>’s</w:t>
      </w:r>
      <w:r w:rsidR="001B4671" w:rsidRPr="00EB744B">
        <w:rPr>
          <w:sz w:val="22"/>
          <w:szCs w:val="22"/>
        </w:rPr>
        <w:t xml:space="preserve"> </w:t>
      </w:r>
      <w:r w:rsidRPr="00EB744B">
        <w:rPr>
          <w:sz w:val="22"/>
          <w:szCs w:val="22"/>
        </w:rPr>
        <w:t xml:space="preserve">commits to transition from its current position where </w:t>
      </w:r>
      <w:r w:rsidRPr="008A702D">
        <w:rPr>
          <w:sz w:val="22"/>
          <w:szCs w:val="22"/>
        </w:rPr>
        <w:t xml:space="preserve">it’s emissions are </w:t>
      </w:r>
      <w:r w:rsidR="00E276A9" w:rsidRPr="008A702D">
        <w:rPr>
          <w:sz w:val="22"/>
          <w:szCs w:val="22"/>
        </w:rPr>
        <w:t>37</w:t>
      </w:r>
      <w:r w:rsidRPr="008A702D">
        <w:rPr>
          <w:sz w:val="22"/>
          <w:szCs w:val="22"/>
        </w:rPr>
        <w:t>% lower than 2005 levels to a pa</w:t>
      </w:r>
      <w:r w:rsidR="007374FA" w:rsidRPr="008A702D">
        <w:rPr>
          <w:sz w:val="22"/>
          <w:szCs w:val="22"/>
        </w:rPr>
        <w:t xml:space="preserve">thway where its emissions are </w:t>
      </w:r>
      <w:r w:rsidR="008A702D" w:rsidRPr="008A702D">
        <w:rPr>
          <w:sz w:val="22"/>
          <w:szCs w:val="22"/>
        </w:rPr>
        <w:t>72</w:t>
      </w:r>
      <w:r w:rsidRPr="008A702D">
        <w:rPr>
          <w:sz w:val="22"/>
          <w:szCs w:val="22"/>
        </w:rPr>
        <w:t>% lo</w:t>
      </w:r>
      <w:r w:rsidR="007374FA" w:rsidRPr="008A702D">
        <w:rPr>
          <w:sz w:val="22"/>
          <w:szCs w:val="22"/>
        </w:rPr>
        <w:t xml:space="preserve">wer than 2005 levels by 2025, </w:t>
      </w:r>
      <w:r w:rsidR="008A702D" w:rsidRPr="008A702D">
        <w:rPr>
          <w:sz w:val="22"/>
          <w:szCs w:val="22"/>
        </w:rPr>
        <w:t>86</w:t>
      </w:r>
      <w:r w:rsidR="003B2230" w:rsidRPr="008A702D">
        <w:rPr>
          <w:sz w:val="22"/>
          <w:szCs w:val="22"/>
        </w:rPr>
        <w:t xml:space="preserve">% by 2030, </w:t>
      </w:r>
      <w:r w:rsidR="008A702D" w:rsidRPr="008A702D">
        <w:rPr>
          <w:sz w:val="22"/>
          <w:szCs w:val="22"/>
        </w:rPr>
        <w:t>92</w:t>
      </w:r>
      <w:r w:rsidR="003B2230" w:rsidRPr="008A702D">
        <w:rPr>
          <w:sz w:val="22"/>
          <w:szCs w:val="22"/>
        </w:rPr>
        <w:t xml:space="preserve">% by 2035, </w:t>
      </w:r>
      <w:r w:rsidR="008A702D" w:rsidRPr="008A702D">
        <w:rPr>
          <w:sz w:val="22"/>
          <w:szCs w:val="22"/>
        </w:rPr>
        <w:t>96</w:t>
      </w:r>
      <w:r w:rsidR="003B2230" w:rsidRPr="008A702D">
        <w:rPr>
          <w:sz w:val="22"/>
          <w:szCs w:val="22"/>
        </w:rPr>
        <w:t xml:space="preserve">% by 2040, </w:t>
      </w:r>
      <w:r w:rsidR="008A702D" w:rsidRPr="008A702D">
        <w:rPr>
          <w:sz w:val="22"/>
          <w:szCs w:val="22"/>
        </w:rPr>
        <w:t>98</w:t>
      </w:r>
      <w:r w:rsidR="003B2230" w:rsidRPr="008A702D">
        <w:rPr>
          <w:sz w:val="22"/>
          <w:szCs w:val="22"/>
        </w:rPr>
        <w:t xml:space="preserve">% by 2045 and </w:t>
      </w:r>
      <w:r w:rsidRPr="008A702D">
        <w:rPr>
          <w:sz w:val="22"/>
          <w:szCs w:val="22"/>
        </w:rPr>
        <w:t>9</w:t>
      </w:r>
      <w:r w:rsidR="008A702D" w:rsidRPr="008A702D">
        <w:rPr>
          <w:sz w:val="22"/>
          <w:szCs w:val="22"/>
        </w:rPr>
        <w:t>9</w:t>
      </w:r>
      <w:r w:rsidRPr="008A702D">
        <w:rPr>
          <w:sz w:val="22"/>
          <w:szCs w:val="22"/>
        </w:rPr>
        <w:t>%</w:t>
      </w:r>
      <w:r w:rsidRPr="00EB744B">
        <w:rPr>
          <w:sz w:val="22"/>
          <w:szCs w:val="22"/>
        </w:rPr>
        <w:t xml:space="preserve"> by 2050. Such a trajectory would mean that the majority of all carbon cuts </w:t>
      </w:r>
      <w:r w:rsidR="00DD2F9F" w:rsidRPr="00EB744B">
        <w:rPr>
          <w:sz w:val="22"/>
          <w:szCs w:val="22"/>
        </w:rPr>
        <w:t>need to be</w:t>
      </w:r>
      <w:r w:rsidRPr="00EB744B">
        <w:rPr>
          <w:sz w:val="22"/>
          <w:szCs w:val="22"/>
        </w:rPr>
        <w:t xml:space="preserve"> d</w:t>
      </w:r>
      <w:r w:rsidR="003B2230" w:rsidRPr="00EB744B">
        <w:rPr>
          <w:sz w:val="22"/>
          <w:szCs w:val="22"/>
        </w:rPr>
        <w:t>elivered in the next ten years.</w:t>
      </w:r>
    </w:p>
    <w:p w14:paraId="2E2F702A" w14:textId="77777777" w:rsidR="00DD2163" w:rsidRPr="00EB744B" w:rsidRDefault="00DD2163" w:rsidP="000F0BF1">
      <w:pPr>
        <w:rPr>
          <w:sz w:val="22"/>
          <w:szCs w:val="22"/>
        </w:rPr>
      </w:pPr>
    </w:p>
    <w:p w14:paraId="648BCAF2" w14:textId="1A5B49CC" w:rsidR="002B78A7" w:rsidRPr="00EB744B" w:rsidRDefault="008A702D" w:rsidP="002C721C">
      <w:pPr>
        <w:jc w:val="center"/>
        <w:rPr>
          <w:sz w:val="22"/>
          <w:szCs w:val="22"/>
        </w:rPr>
      </w:pPr>
      <w:r>
        <w:rPr>
          <w:noProof/>
          <w:lang w:eastAsia="zh-CN"/>
        </w:rPr>
        <w:drawing>
          <wp:inline distT="0" distB="0" distL="0" distR="0" wp14:anchorId="3B2AC963" wp14:editId="697B7720">
            <wp:extent cx="5727700" cy="2893695"/>
            <wp:effectExtent l="0" t="0" r="1270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7700" cy="2893695"/>
                    </a:xfrm>
                    <a:prstGeom prst="rect">
                      <a:avLst/>
                    </a:prstGeom>
                  </pic:spPr>
                </pic:pic>
              </a:graphicData>
            </a:graphic>
          </wp:inline>
        </w:drawing>
      </w:r>
    </w:p>
    <w:p w14:paraId="571C6B54" w14:textId="77777777" w:rsidR="002B78A7" w:rsidRPr="00EB744B" w:rsidRDefault="002B78A7" w:rsidP="002C721C">
      <w:pPr>
        <w:pStyle w:val="Caption"/>
        <w:jc w:val="center"/>
        <w:rPr>
          <w:sz w:val="22"/>
          <w:szCs w:val="22"/>
        </w:rPr>
      </w:pPr>
      <w:r w:rsidRPr="00EB744B">
        <w:rPr>
          <w:sz w:val="22"/>
          <w:szCs w:val="22"/>
        </w:rPr>
        <w:t xml:space="preserve">Figure </w:t>
      </w:r>
      <w:r w:rsidR="005262B0" w:rsidRPr="00EB744B">
        <w:rPr>
          <w:sz w:val="22"/>
          <w:szCs w:val="22"/>
        </w:rPr>
        <w:fldChar w:fldCharType="begin"/>
      </w:r>
      <w:r w:rsidR="005262B0" w:rsidRPr="00EB744B">
        <w:rPr>
          <w:sz w:val="22"/>
          <w:szCs w:val="22"/>
        </w:rPr>
        <w:instrText xml:space="preserve"> SEQ Figure \* ARABIC </w:instrText>
      </w:r>
      <w:r w:rsidR="005262B0" w:rsidRPr="00EB744B">
        <w:rPr>
          <w:sz w:val="22"/>
          <w:szCs w:val="22"/>
        </w:rPr>
        <w:fldChar w:fldCharType="separate"/>
      </w:r>
      <w:r w:rsidRPr="00EB744B">
        <w:rPr>
          <w:noProof/>
          <w:sz w:val="22"/>
          <w:szCs w:val="22"/>
        </w:rPr>
        <w:t>3</w:t>
      </w:r>
      <w:r w:rsidR="005262B0" w:rsidRPr="00EB744B">
        <w:rPr>
          <w:noProof/>
          <w:sz w:val="22"/>
          <w:szCs w:val="22"/>
        </w:rPr>
        <w:fldChar w:fldCharType="end"/>
      </w:r>
      <w:r w:rsidRPr="00EB744B">
        <w:rPr>
          <w:sz w:val="22"/>
          <w:szCs w:val="22"/>
        </w:rPr>
        <w:t>: BAU and science-based emissions pathways</w:t>
      </w:r>
    </w:p>
    <w:p w14:paraId="3FBF3345" w14:textId="20D20F5E" w:rsidR="00936F44" w:rsidRPr="00EB744B" w:rsidRDefault="00936F44" w:rsidP="00936F44">
      <w:pPr>
        <w:rPr>
          <w:sz w:val="22"/>
          <w:szCs w:val="22"/>
        </w:rPr>
      </w:pPr>
    </w:p>
    <w:p w14:paraId="133A20FC" w14:textId="516023AA" w:rsidR="00AC1F18" w:rsidRPr="00EB744B" w:rsidRDefault="00EF01EE" w:rsidP="00862862">
      <w:pPr>
        <w:pStyle w:val="Heading2"/>
        <w:rPr>
          <w:rFonts w:asciiTheme="minorHAnsi" w:hAnsiTheme="minorHAnsi"/>
          <w:b/>
          <w:sz w:val="22"/>
          <w:szCs w:val="22"/>
        </w:rPr>
      </w:pPr>
      <w:r w:rsidRPr="00EB744B">
        <w:rPr>
          <w:rFonts w:asciiTheme="minorHAnsi" w:hAnsiTheme="minorHAnsi"/>
          <w:b/>
          <w:sz w:val="22"/>
          <w:szCs w:val="22"/>
        </w:rPr>
        <w:t xml:space="preserve">What are the Options for </w:t>
      </w:r>
      <w:r w:rsidR="00F815B7" w:rsidRPr="008A702D">
        <w:rPr>
          <w:rFonts w:asciiTheme="minorHAnsi" w:hAnsiTheme="minorHAnsi"/>
          <w:b/>
          <w:sz w:val="22"/>
          <w:szCs w:val="22"/>
        </w:rPr>
        <w:t>Yorkshire and Humber</w:t>
      </w:r>
      <w:r w:rsidRPr="00EB744B">
        <w:rPr>
          <w:rFonts w:asciiTheme="minorHAnsi" w:hAnsiTheme="minorHAnsi"/>
          <w:b/>
          <w:sz w:val="22"/>
          <w:szCs w:val="22"/>
        </w:rPr>
        <w:t xml:space="preserve">? </w:t>
      </w:r>
    </w:p>
    <w:p w14:paraId="2C9E1E36" w14:textId="12268FF1" w:rsidR="00DD2163" w:rsidRPr="00EB744B" w:rsidRDefault="00DD2163" w:rsidP="00DD2163">
      <w:pPr>
        <w:rPr>
          <w:sz w:val="22"/>
          <w:szCs w:val="22"/>
        </w:rPr>
      </w:pPr>
    </w:p>
    <w:p w14:paraId="472EB235" w14:textId="517747F6" w:rsidR="00EF01EE" w:rsidRPr="00EB744B" w:rsidRDefault="00EF01EE" w:rsidP="00EB744B">
      <w:pPr>
        <w:rPr>
          <w:sz w:val="22"/>
          <w:szCs w:val="22"/>
        </w:rPr>
      </w:pPr>
      <w:r w:rsidRPr="00EB744B">
        <w:rPr>
          <w:sz w:val="22"/>
          <w:szCs w:val="22"/>
        </w:rPr>
        <w:t xml:space="preserve">Some of what needs to be done will happen </w:t>
      </w:r>
      <w:r w:rsidRPr="00761C9E">
        <w:rPr>
          <w:sz w:val="22"/>
          <w:szCs w:val="22"/>
        </w:rPr>
        <w:t xml:space="preserve">outside </w:t>
      </w:r>
      <w:r w:rsidR="00F815B7" w:rsidRPr="00761C9E">
        <w:rPr>
          <w:rFonts w:eastAsia="Times New Roman" w:cs="Times New Roman"/>
          <w:color w:val="000000" w:themeColor="text1"/>
          <w:sz w:val="22"/>
          <w:szCs w:val="22"/>
          <w:lang w:eastAsia="zh-CN"/>
        </w:rPr>
        <w:t>Yorkshire and Humber</w:t>
      </w:r>
      <w:r w:rsidR="006D086F" w:rsidRPr="00761C9E">
        <w:rPr>
          <w:sz w:val="22"/>
          <w:szCs w:val="22"/>
        </w:rPr>
        <w:t xml:space="preserve"> –</w:t>
      </w:r>
      <w:r w:rsidRPr="00761C9E">
        <w:rPr>
          <w:sz w:val="22"/>
          <w:szCs w:val="22"/>
        </w:rPr>
        <w:t xml:space="preserve"> for example through the </w:t>
      </w:r>
      <w:r w:rsidR="00DD2F9F" w:rsidRPr="00761C9E">
        <w:rPr>
          <w:sz w:val="22"/>
          <w:szCs w:val="22"/>
        </w:rPr>
        <w:t xml:space="preserve">on-going </w:t>
      </w:r>
      <w:r w:rsidRPr="00761C9E">
        <w:rPr>
          <w:sz w:val="22"/>
          <w:szCs w:val="22"/>
        </w:rPr>
        <w:t>decarbonisation of electricity or the development of electric vehicles. However, n</w:t>
      </w:r>
      <w:r w:rsidR="00232E02" w:rsidRPr="00761C9E">
        <w:rPr>
          <w:sz w:val="22"/>
          <w:szCs w:val="22"/>
        </w:rPr>
        <w:t xml:space="preserve">umerous options could </w:t>
      </w:r>
      <w:r w:rsidRPr="00761C9E">
        <w:rPr>
          <w:sz w:val="22"/>
          <w:szCs w:val="22"/>
        </w:rPr>
        <w:t xml:space="preserve">also </w:t>
      </w:r>
      <w:r w:rsidR="00232E02" w:rsidRPr="00761C9E">
        <w:rPr>
          <w:sz w:val="22"/>
          <w:szCs w:val="22"/>
        </w:rPr>
        <w:t xml:space="preserve">be adopted </w:t>
      </w:r>
      <w:r w:rsidRPr="00761C9E">
        <w:rPr>
          <w:sz w:val="22"/>
          <w:szCs w:val="22"/>
        </w:rPr>
        <w:t xml:space="preserve">within </w:t>
      </w:r>
      <w:r w:rsidR="00F815B7" w:rsidRPr="00761C9E">
        <w:rPr>
          <w:rFonts w:eastAsia="Times New Roman" w:cs="Times New Roman"/>
          <w:color w:val="000000" w:themeColor="text1"/>
          <w:sz w:val="22"/>
          <w:szCs w:val="22"/>
          <w:lang w:eastAsia="zh-CN"/>
        </w:rPr>
        <w:t>Yorkshire and Humber</w:t>
      </w:r>
      <w:r w:rsidRPr="00761C9E">
        <w:rPr>
          <w:sz w:val="22"/>
          <w:szCs w:val="22"/>
        </w:rPr>
        <w:t xml:space="preserve"> </w:t>
      </w:r>
      <w:r w:rsidR="00232E02" w:rsidRPr="00761C9E">
        <w:rPr>
          <w:sz w:val="22"/>
          <w:szCs w:val="22"/>
        </w:rPr>
        <w:t xml:space="preserve">to reduce energy use and carbon emissions </w:t>
      </w:r>
      <w:r w:rsidR="00AE69AC" w:rsidRPr="00761C9E">
        <w:rPr>
          <w:sz w:val="22"/>
          <w:szCs w:val="22"/>
        </w:rPr>
        <w:t>in homes, buildings, transport and industry</w:t>
      </w:r>
      <w:r w:rsidR="00232E02" w:rsidRPr="00761C9E">
        <w:rPr>
          <w:sz w:val="22"/>
          <w:szCs w:val="22"/>
        </w:rPr>
        <w:t>.</w:t>
      </w:r>
      <w:r w:rsidR="00232E02" w:rsidRPr="00EB744B">
        <w:rPr>
          <w:sz w:val="22"/>
          <w:szCs w:val="22"/>
        </w:rPr>
        <w:t xml:space="preserve"> </w:t>
      </w:r>
    </w:p>
    <w:p w14:paraId="310ADFF4" w14:textId="77777777" w:rsidR="00EF01EE" w:rsidRPr="00EB744B" w:rsidRDefault="00EF01EE" w:rsidP="00DD2163">
      <w:pPr>
        <w:rPr>
          <w:sz w:val="22"/>
          <w:szCs w:val="22"/>
        </w:rPr>
      </w:pPr>
    </w:p>
    <w:p w14:paraId="17EA055E" w14:textId="7E0977EC" w:rsidR="0007584F" w:rsidRPr="00EB744B" w:rsidRDefault="00232E02" w:rsidP="00761C9E">
      <w:pPr>
        <w:rPr>
          <w:sz w:val="22"/>
          <w:szCs w:val="22"/>
        </w:rPr>
      </w:pPr>
      <w:r w:rsidRPr="00EB744B">
        <w:rPr>
          <w:sz w:val="22"/>
          <w:szCs w:val="22"/>
        </w:rPr>
        <w:t>All of the evidence suggests that there are unlikely to be many ‘silver bullets’ that lea</w:t>
      </w:r>
      <w:r w:rsidR="00761C9E">
        <w:rPr>
          <w:sz w:val="22"/>
          <w:szCs w:val="22"/>
        </w:rPr>
        <w:t xml:space="preserve">d to dramatic step changes in an areas </w:t>
      </w:r>
      <w:r w:rsidRPr="00EB744B">
        <w:rPr>
          <w:sz w:val="22"/>
          <w:szCs w:val="22"/>
        </w:rPr>
        <w:t>carbon footprint, but that instead multiple options have to be adopted across all sectors.</w:t>
      </w:r>
      <w:r w:rsidR="00EF01EE" w:rsidRPr="00EB744B">
        <w:rPr>
          <w:sz w:val="22"/>
          <w:szCs w:val="22"/>
        </w:rPr>
        <w:t xml:space="preserve"> </w:t>
      </w:r>
      <w:r w:rsidRPr="00EB744B">
        <w:rPr>
          <w:sz w:val="22"/>
          <w:szCs w:val="22"/>
        </w:rPr>
        <w:t xml:space="preserve">Our analysis includes assessment of the potential contribution of </w:t>
      </w:r>
      <w:r w:rsidR="003E0A85" w:rsidRPr="00EB744B">
        <w:rPr>
          <w:sz w:val="22"/>
          <w:szCs w:val="22"/>
        </w:rPr>
        <w:t>c.</w:t>
      </w:r>
      <w:r w:rsidR="00373C1C" w:rsidRPr="00EB744B">
        <w:rPr>
          <w:sz w:val="22"/>
          <w:szCs w:val="22"/>
        </w:rPr>
        <w:t>1</w:t>
      </w:r>
      <w:r w:rsidR="003E0A85" w:rsidRPr="00EB744B">
        <w:rPr>
          <w:sz w:val="22"/>
          <w:szCs w:val="22"/>
        </w:rPr>
        <w:t>30</w:t>
      </w:r>
      <w:r w:rsidR="00373C1C" w:rsidRPr="00EB744B">
        <w:rPr>
          <w:sz w:val="22"/>
          <w:szCs w:val="22"/>
        </w:rPr>
        <w:t xml:space="preserve"> energy saving or low carbon </w:t>
      </w:r>
      <w:r w:rsidRPr="00EB744B">
        <w:rPr>
          <w:sz w:val="22"/>
          <w:szCs w:val="22"/>
        </w:rPr>
        <w:t>measures for</w:t>
      </w:r>
      <w:r w:rsidR="0007584F" w:rsidRPr="00EB744B">
        <w:rPr>
          <w:sz w:val="22"/>
          <w:szCs w:val="22"/>
        </w:rPr>
        <w:t xml:space="preserve">: </w:t>
      </w:r>
    </w:p>
    <w:p w14:paraId="39189046" w14:textId="77777777" w:rsidR="0007584F" w:rsidRPr="00EB744B" w:rsidRDefault="0007584F" w:rsidP="00DD2163">
      <w:pPr>
        <w:rPr>
          <w:sz w:val="22"/>
          <w:szCs w:val="22"/>
        </w:rPr>
      </w:pPr>
    </w:p>
    <w:p w14:paraId="44C912D1" w14:textId="77777777" w:rsidR="0007584F" w:rsidRPr="00EB744B" w:rsidRDefault="00232E02" w:rsidP="0007584F">
      <w:pPr>
        <w:pStyle w:val="ListParagraph"/>
        <w:numPr>
          <w:ilvl w:val="0"/>
          <w:numId w:val="5"/>
        </w:numPr>
        <w:rPr>
          <w:sz w:val="22"/>
          <w:szCs w:val="22"/>
        </w:rPr>
      </w:pPr>
      <w:r w:rsidRPr="00EB744B">
        <w:rPr>
          <w:sz w:val="22"/>
          <w:szCs w:val="22"/>
        </w:rPr>
        <w:t>households and other public</w:t>
      </w:r>
      <w:r w:rsidR="008C0C22" w:rsidRPr="00EB744B">
        <w:rPr>
          <w:sz w:val="22"/>
          <w:szCs w:val="22"/>
        </w:rPr>
        <w:t>/</w:t>
      </w:r>
      <w:r w:rsidRPr="00EB744B">
        <w:rPr>
          <w:sz w:val="22"/>
          <w:szCs w:val="22"/>
        </w:rPr>
        <w:t>commercial buildings (better insulation, improved heating, more efficient appliances, some small scale renewables)</w:t>
      </w:r>
    </w:p>
    <w:p w14:paraId="47F01460" w14:textId="77777777" w:rsidR="0007584F" w:rsidRPr="00EB744B" w:rsidRDefault="00232E02" w:rsidP="0007584F">
      <w:pPr>
        <w:pStyle w:val="ListParagraph"/>
        <w:numPr>
          <w:ilvl w:val="0"/>
          <w:numId w:val="5"/>
        </w:numPr>
        <w:rPr>
          <w:sz w:val="22"/>
          <w:szCs w:val="22"/>
        </w:rPr>
      </w:pPr>
      <w:r w:rsidRPr="00EB744B">
        <w:rPr>
          <w:sz w:val="22"/>
          <w:szCs w:val="22"/>
        </w:rPr>
        <w:t>transport (more walking and cycling, enhanced public transport, electric and more fuel efficient vehicles) and</w:t>
      </w:r>
    </w:p>
    <w:p w14:paraId="683ED64B" w14:textId="604A8D13" w:rsidR="00232E02" w:rsidRPr="00EB744B" w:rsidRDefault="00232E02" w:rsidP="0007584F">
      <w:pPr>
        <w:pStyle w:val="ListParagraph"/>
        <w:numPr>
          <w:ilvl w:val="0"/>
          <w:numId w:val="5"/>
        </w:numPr>
        <w:rPr>
          <w:sz w:val="22"/>
          <w:szCs w:val="22"/>
        </w:rPr>
      </w:pPr>
      <w:r w:rsidRPr="00EB744B">
        <w:rPr>
          <w:sz w:val="22"/>
          <w:szCs w:val="22"/>
        </w:rPr>
        <w:lastRenderedPageBreak/>
        <w:t>industry (</w:t>
      </w:r>
      <w:r w:rsidR="00BB1C79" w:rsidRPr="00EB744B">
        <w:rPr>
          <w:sz w:val="22"/>
          <w:szCs w:val="22"/>
        </w:rPr>
        <w:t xml:space="preserve">better lighting, improved process efficiencies and a wide range of other energy efficiency measures). </w:t>
      </w:r>
    </w:p>
    <w:p w14:paraId="65C60BDE" w14:textId="79C2261A" w:rsidR="00373C1C" w:rsidRPr="00EB744B" w:rsidRDefault="00373C1C" w:rsidP="00DD2163">
      <w:pPr>
        <w:rPr>
          <w:sz w:val="22"/>
          <w:szCs w:val="22"/>
        </w:rPr>
      </w:pPr>
    </w:p>
    <w:p w14:paraId="1A479DC6" w14:textId="470E38E2" w:rsidR="00DA1400" w:rsidRPr="00EB744B" w:rsidRDefault="00373C1C" w:rsidP="00373C1C">
      <w:pPr>
        <w:rPr>
          <w:sz w:val="22"/>
          <w:szCs w:val="22"/>
        </w:rPr>
      </w:pPr>
      <w:r w:rsidRPr="00EB744B">
        <w:rPr>
          <w:sz w:val="22"/>
          <w:szCs w:val="22"/>
        </w:rPr>
        <w:t xml:space="preserve">We divide these measures into two groups. </w:t>
      </w:r>
    </w:p>
    <w:p w14:paraId="6C2D9C5E" w14:textId="77777777" w:rsidR="00DA1400" w:rsidRPr="00EB744B" w:rsidRDefault="00DA1400" w:rsidP="00DD2163">
      <w:pPr>
        <w:rPr>
          <w:sz w:val="22"/>
          <w:szCs w:val="22"/>
        </w:rPr>
      </w:pPr>
    </w:p>
    <w:p w14:paraId="0F0134F3" w14:textId="6D640FD0" w:rsidR="00DA1400" w:rsidRPr="00EB744B" w:rsidRDefault="00DA1400" w:rsidP="00DA1400">
      <w:pPr>
        <w:pStyle w:val="ListParagraph"/>
        <w:numPr>
          <w:ilvl w:val="0"/>
          <w:numId w:val="3"/>
        </w:numPr>
        <w:rPr>
          <w:sz w:val="22"/>
          <w:szCs w:val="22"/>
        </w:rPr>
      </w:pPr>
      <w:r w:rsidRPr="00EB744B">
        <w:rPr>
          <w:b/>
          <w:i/>
          <w:sz w:val="22"/>
          <w:szCs w:val="22"/>
        </w:rPr>
        <w:t xml:space="preserve">The cost-effective </w:t>
      </w:r>
      <w:r w:rsidR="009237C2" w:rsidRPr="00EB744B">
        <w:rPr>
          <w:b/>
          <w:i/>
          <w:sz w:val="22"/>
          <w:szCs w:val="22"/>
        </w:rPr>
        <w:t>options</w:t>
      </w:r>
      <w:r w:rsidRPr="00EB744B">
        <w:rPr>
          <w:sz w:val="22"/>
          <w:szCs w:val="22"/>
        </w:rPr>
        <w:t xml:space="preserve"> where the direct costs </w:t>
      </w:r>
      <w:r w:rsidR="008C0C22" w:rsidRPr="00EB744B">
        <w:rPr>
          <w:sz w:val="22"/>
          <w:szCs w:val="22"/>
        </w:rPr>
        <w:t xml:space="preserve">of adopting them </w:t>
      </w:r>
      <w:r w:rsidRPr="00EB744B">
        <w:rPr>
          <w:sz w:val="22"/>
          <w:szCs w:val="22"/>
        </w:rPr>
        <w:t xml:space="preserve">are outweighed by the direct benefits that </w:t>
      </w:r>
      <w:r w:rsidR="008C0C22" w:rsidRPr="00EB744B">
        <w:rPr>
          <w:sz w:val="22"/>
          <w:szCs w:val="22"/>
        </w:rPr>
        <w:t xml:space="preserve">they generate </w:t>
      </w:r>
      <w:r w:rsidRPr="00EB744B">
        <w:rPr>
          <w:sz w:val="22"/>
          <w:szCs w:val="22"/>
        </w:rPr>
        <w:t xml:space="preserve">through the energy savings they </w:t>
      </w:r>
      <w:r w:rsidR="008C0C22" w:rsidRPr="00EB744B">
        <w:rPr>
          <w:sz w:val="22"/>
          <w:szCs w:val="22"/>
        </w:rPr>
        <w:t>secure</w:t>
      </w:r>
      <w:r w:rsidRPr="00EB744B">
        <w:rPr>
          <w:sz w:val="22"/>
          <w:szCs w:val="22"/>
        </w:rPr>
        <w:t xml:space="preserve">. These options may also generate indirect benefits, for example through </w:t>
      </w:r>
      <w:r w:rsidR="00232E02" w:rsidRPr="00EB744B">
        <w:rPr>
          <w:sz w:val="22"/>
          <w:szCs w:val="22"/>
        </w:rPr>
        <w:t xml:space="preserve">job creation, fuel poverty and improved air quality and public health. </w:t>
      </w:r>
    </w:p>
    <w:p w14:paraId="3F9724B6" w14:textId="2045F785" w:rsidR="00232E02" w:rsidRPr="00EB744B" w:rsidRDefault="00DA1400" w:rsidP="00DA1400">
      <w:pPr>
        <w:pStyle w:val="ListParagraph"/>
        <w:numPr>
          <w:ilvl w:val="0"/>
          <w:numId w:val="3"/>
        </w:numPr>
        <w:rPr>
          <w:sz w:val="22"/>
          <w:szCs w:val="22"/>
        </w:rPr>
      </w:pPr>
      <w:r w:rsidRPr="00EB744B">
        <w:rPr>
          <w:b/>
          <w:i/>
          <w:sz w:val="22"/>
          <w:szCs w:val="22"/>
        </w:rPr>
        <w:t>The technical</w:t>
      </w:r>
      <w:r w:rsidR="00E26FF9" w:rsidRPr="00EB744B">
        <w:rPr>
          <w:b/>
          <w:i/>
          <w:sz w:val="22"/>
          <w:szCs w:val="22"/>
        </w:rPr>
        <w:t xml:space="preserve"> potential</w:t>
      </w:r>
      <w:r w:rsidRPr="00EB744B">
        <w:rPr>
          <w:b/>
          <w:i/>
          <w:sz w:val="22"/>
          <w:szCs w:val="22"/>
        </w:rPr>
        <w:t xml:space="preserve"> </w:t>
      </w:r>
      <w:r w:rsidR="009237C2" w:rsidRPr="00EB744B">
        <w:rPr>
          <w:b/>
          <w:i/>
          <w:sz w:val="22"/>
          <w:szCs w:val="22"/>
        </w:rPr>
        <w:t>options</w:t>
      </w:r>
      <w:r w:rsidRPr="00EB744B">
        <w:rPr>
          <w:sz w:val="22"/>
          <w:szCs w:val="22"/>
        </w:rPr>
        <w:t xml:space="preserve"> where the direct costs are not (at present) covered by the direct benefits. </w:t>
      </w:r>
      <w:r w:rsidR="00232E02" w:rsidRPr="00EB744B">
        <w:rPr>
          <w:sz w:val="22"/>
          <w:szCs w:val="22"/>
        </w:rPr>
        <w:t xml:space="preserve">However, the cost of many low carbon options is falling quickly, and again these options could generate important indirect benefits such as those listed above. </w:t>
      </w:r>
    </w:p>
    <w:p w14:paraId="35F197D6" w14:textId="5BB3A079" w:rsidR="00EF01EE" w:rsidRPr="00EB744B" w:rsidRDefault="00373C1C" w:rsidP="00373C1C">
      <w:pPr>
        <w:rPr>
          <w:sz w:val="22"/>
          <w:szCs w:val="22"/>
        </w:rPr>
      </w:pPr>
      <w:r w:rsidRPr="00EB744B">
        <w:rPr>
          <w:sz w:val="22"/>
          <w:szCs w:val="22"/>
        </w:rPr>
        <w:br/>
      </w:r>
      <w:r w:rsidR="0007584F" w:rsidRPr="00EB744B">
        <w:rPr>
          <w:sz w:val="22"/>
          <w:szCs w:val="22"/>
        </w:rPr>
        <w:t>A</w:t>
      </w:r>
      <w:r w:rsidRPr="00EB744B">
        <w:rPr>
          <w:sz w:val="22"/>
          <w:szCs w:val="22"/>
        </w:rPr>
        <w:t xml:space="preserve">s </w:t>
      </w:r>
      <w:r w:rsidR="00EF01EE" w:rsidRPr="00EB744B">
        <w:rPr>
          <w:sz w:val="22"/>
          <w:szCs w:val="22"/>
        </w:rPr>
        <w:t xml:space="preserve">it is unlikely that </w:t>
      </w:r>
      <w:r w:rsidRPr="00EB744B">
        <w:rPr>
          <w:sz w:val="22"/>
          <w:szCs w:val="22"/>
        </w:rPr>
        <w:t xml:space="preserve">adopting all of the cost-effective or technically viable options </w:t>
      </w:r>
      <w:r w:rsidR="00EF01EE" w:rsidRPr="00EB744B">
        <w:rPr>
          <w:sz w:val="22"/>
          <w:szCs w:val="22"/>
        </w:rPr>
        <w:t>will enable an area to reach net-zero emissions, we also highlight the need for a third group of measures:</w:t>
      </w:r>
    </w:p>
    <w:p w14:paraId="0195E0F1" w14:textId="77777777" w:rsidR="00EF01EE" w:rsidRPr="00EB744B" w:rsidRDefault="00EF01EE" w:rsidP="00373C1C">
      <w:pPr>
        <w:rPr>
          <w:sz w:val="22"/>
          <w:szCs w:val="22"/>
        </w:rPr>
      </w:pPr>
    </w:p>
    <w:p w14:paraId="564D4907" w14:textId="67BB31E3" w:rsidR="00232E02" w:rsidRPr="00EB744B" w:rsidRDefault="00232E02" w:rsidP="00232E02">
      <w:pPr>
        <w:pStyle w:val="ListParagraph"/>
        <w:numPr>
          <w:ilvl w:val="0"/>
          <w:numId w:val="3"/>
        </w:numPr>
        <w:rPr>
          <w:sz w:val="22"/>
          <w:szCs w:val="22"/>
        </w:rPr>
      </w:pPr>
      <w:r w:rsidRPr="00EB744B">
        <w:rPr>
          <w:b/>
          <w:i/>
          <w:sz w:val="22"/>
          <w:szCs w:val="22"/>
        </w:rPr>
        <w:t xml:space="preserve">The innovative or ‘stretch’ </w:t>
      </w:r>
      <w:r w:rsidR="009237C2" w:rsidRPr="00EB744B">
        <w:rPr>
          <w:b/>
          <w:i/>
          <w:sz w:val="22"/>
          <w:szCs w:val="22"/>
        </w:rPr>
        <w:t>options</w:t>
      </w:r>
      <w:r w:rsidRPr="00EB744B">
        <w:rPr>
          <w:sz w:val="22"/>
          <w:szCs w:val="22"/>
        </w:rPr>
        <w:t xml:space="preserve"> that includes low-carbon measures that are not yet widely adopted. Some of the options within this group may well be cost and carbon effective, and they may also generate significant indirect benefits, but </w:t>
      </w:r>
      <w:r w:rsidR="00EF01EE" w:rsidRPr="00EB744B">
        <w:rPr>
          <w:sz w:val="22"/>
          <w:szCs w:val="22"/>
        </w:rPr>
        <w:t xml:space="preserve">whilst we can predict their carbon saving potential, </w:t>
      </w:r>
      <w:r w:rsidRPr="00EB744B">
        <w:rPr>
          <w:sz w:val="22"/>
          <w:szCs w:val="22"/>
        </w:rPr>
        <w:t xml:space="preserve">data on their </w:t>
      </w:r>
      <w:r w:rsidR="00EF01EE" w:rsidRPr="00EB744B">
        <w:rPr>
          <w:sz w:val="22"/>
          <w:szCs w:val="22"/>
        </w:rPr>
        <w:t>costs and benefits</w:t>
      </w:r>
      <w:r w:rsidRPr="00EB744B">
        <w:rPr>
          <w:sz w:val="22"/>
          <w:szCs w:val="22"/>
        </w:rPr>
        <w:t xml:space="preserve"> is not yet available. </w:t>
      </w:r>
    </w:p>
    <w:p w14:paraId="55AF6388" w14:textId="3A71392A" w:rsidR="00EF01EE" w:rsidRPr="00EB744B" w:rsidRDefault="00EF01EE" w:rsidP="00EF01EE">
      <w:pPr>
        <w:rPr>
          <w:sz w:val="22"/>
          <w:szCs w:val="22"/>
        </w:rPr>
      </w:pPr>
    </w:p>
    <w:p w14:paraId="24AAD78D" w14:textId="77777777" w:rsidR="00EF01EE" w:rsidRPr="00EB744B" w:rsidRDefault="00EF01EE" w:rsidP="00EF01EE">
      <w:pPr>
        <w:rPr>
          <w:b/>
          <w:color w:val="4472C4" w:themeColor="accent5"/>
          <w:sz w:val="22"/>
          <w:szCs w:val="22"/>
        </w:rPr>
      </w:pPr>
    </w:p>
    <w:p w14:paraId="3F0890CB" w14:textId="5D4BB252" w:rsidR="00EF01EE" w:rsidRPr="00EB744B" w:rsidRDefault="00EF01EE" w:rsidP="00EB744B">
      <w:pPr>
        <w:rPr>
          <w:rFonts w:eastAsiaTheme="majorEastAsia" w:cstheme="majorBidi"/>
          <w:b/>
          <w:color w:val="4472C4" w:themeColor="accent5"/>
          <w:sz w:val="22"/>
          <w:szCs w:val="22"/>
        </w:rPr>
      </w:pPr>
      <w:r w:rsidRPr="00EB744B">
        <w:rPr>
          <w:b/>
          <w:color w:val="4472C4" w:themeColor="accent5"/>
          <w:sz w:val="22"/>
          <w:szCs w:val="22"/>
        </w:rPr>
        <w:t xml:space="preserve">What this Means for </w:t>
      </w:r>
      <w:r w:rsidR="00F815B7" w:rsidRPr="00761C9E">
        <w:rPr>
          <w:b/>
          <w:color w:val="4472C4" w:themeColor="accent5"/>
          <w:sz w:val="22"/>
          <w:szCs w:val="22"/>
        </w:rPr>
        <w:t>Yorkshire and Humber</w:t>
      </w:r>
    </w:p>
    <w:p w14:paraId="14817AAA" w14:textId="464B7B30" w:rsidR="00EF01EE" w:rsidRPr="00EB744B" w:rsidRDefault="00EF01EE" w:rsidP="006C1C25">
      <w:pPr>
        <w:rPr>
          <w:sz w:val="22"/>
          <w:szCs w:val="22"/>
        </w:rPr>
      </w:pPr>
    </w:p>
    <w:p w14:paraId="58C1B973" w14:textId="0C17480A" w:rsidR="00EF01EE" w:rsidRPr="00EB744B" w:rsidRDefault="00E26FF9" w:rsidP="00EB744B">
      <w:pPr>
        <w:rPr>
          <w:sz w:val="22"/>
          <w:szCs w:val="22"/>
        </w:rPr>
      </w:pPr>
      <w:r w:rsidRPr="00761C9E">
        <w:rPr>
          <w:sz w:val="22"/>
          <w:szCs w:val="22"/>
        </w:rPr>
        <w:t xml:space="preserve">Our analysis predicts that the gap between the </w:t>
      </w:r>
      <w:r w:rsidR="00F815B7" w:rsidRPr="00761C9E">
        <w:rPr>
          <w:rFonts w:eastAsia="Times New Roman" w:cs="Times New Roman"/>
          <w:color w:val="000000" w:themeColor="text1"/>
          <w:sz w:val="22"/>
          <w:szCs w:val="22"/>
          <w:lang w:eastAsia="zh-CN"/>
        </w:rPr>
        <w:t>Yorkshire and Humber</w:t>
      </w:r>
      <w:r w:rsidR="00EB744B" w:rsidRPr="00761C9E">
        <w:rPr>
          <w:sz w:val="22"/>
          <w:szCs w:val="22"/>
        </w:rPr>
        <w:t>’</w:t>
      </w:r>
      <w:r w:rsidR="0007584F" w:rsidRPr="00761C9E">
        <w:rPr>
          <w:sz w:val="22"/>
          <w:szCs w:val="22"/>
        </w:rPr>
        <w:t xml:space="preserve">s </w:t>
      </w:r>
      <w:r w:rsidRPr="00761C9E">
        <w:rPr>
          <w:sz w:val="22"/>
          <w:szCs w:val="22"/>
        </w:rPr>
        <w:t xml:space="preserve">business as usual emissions in 2050 and the net zero target could be closed by </w:t>
      </w:r>
      <w:r w:rsidR="00761C9E" w:rsidRPr="00761C9E">
        <w:rPr>
          <w:sz w:val="22"/>
          <w:szCs w:val="22"/>
        </w:rPr>
        <w:t>32</w:t>
      </w:r>
      <w:r w:rsidRPr="00761C9E">
        <w:rPr>
          <w:sz w:val="22"/>
          <w:szCs w:val="22"/>
        </w:rPr>
        <w:t xml:space="preserve">% through the adoption of cost-effective options and </w:t>
      </w:r>
      <w:r w:rsidR="00761C9E" w:rsidRPr="00761C9E">
        <w:rPr>
          <w:sz w:val="22"/>
          <w:szCs w:val="22"/>
        </w:rPr>
        <w:t>54</w:t>
      </w:r>
      <w:r w:rsidRPr="00761C9E">
        <w:rPr>
          <w:sz w:val="22"/>
          <w:szCs w:val="22"/>
        </w:rPr>
        <w:t xml:space="preserve">% through the adoption of both the cost-effective and technically viable options. This means that </w:t>
      </w:r>
      <w:r w:rsidR="00F815B7" w:rsidRPr="00761C9E">
        <w:rPr>
          <w:rFonts w:eastAsia="Times New Roman" w:cs="Times New Roman"/>
          <w:color w:val="000000" w:themeColor="text1"/>
          <w:sz w:val="22"/>
          <w:szCs w:val="22"/>
          <w:lang w:eastAsia="zh-CN"/>
        </w:rPr>
        <w:t>Yorkshire and Humber</w:t>
      </w:r>
      <w:r w:rsidRPr="00761C9E">
        <w:rPr>
          <w:sz w:val="22"/>
          <w:szCs w:val="22"/>
        </w:rPr>
        <w:t xml:space="preserve"> still has to identify </w:t>
      </w:r>
      <w:r w:rsidR="0007584F" w:rsidRPr="00761C9E">
        <w:rPr>
          <w:sz w:val="22"/>
          <w:szCs w:val="22"/>
        </w:rPr>
        <w:t xml:space="preserve">the </w:t>
      </w:r>
      <w:r w:rsidRPr="00761C9E">
        <w:rPr>
          <w:sz w:val="22"/>
          <w:szCs w:val="22"/>
        </w:rPr>
        <w:t xml:space="preserve">innovative or stretch options that could deliver the last </w:t>
      </w:r>
      <w:r w:rsidR="00761C9E" w:rsidRPr="00761C9E">
        <w:rPr>
          <w:sz w:val="22"/>
          <w:szCs w:val="22"/>
        </w:rPr>
        <w:t>46</w:t>
      </w:r>
      <w:r w:rsidRPr="00761C9E">
        <w:rPr>
          <w:sz w:val="22"/>
          <w:szCs w:val="22"/>
        </w:rPr>
        <w:t>% of</w:t>
      </w:r>
      <w:r w:rsidRPr="00EB744B">
        <w:rPr>
          <w:sz w:val="22"/>
          <w:szCs w:val="22"/>
        </w:rPr>
        <w:t xml:space="preserve"> the gap between the business as usual scenario and net zero. </w:t>
      </w:r>
    </w:p>
    <w:p w14:paraId="39498954" w14:textId="77777777" w:rsidR="00B17318" w:rsidRPr="00EB744B" w:rsidRDefault="00B17318" w:rsidP="006B4120">
      <w:pPr>
        <w:tabs>
          <w:tab w:val="left" w:pos="678"/>
        </w:tabs>
        <w:rPr>
          <w:sz w:val="22"/>
          <w:szCs w:val="22"/>
        </w:rPr>
      </w:pPr>
    </w:p>
    <w:p w14:paraId="0C4569A1" w14:textId="266E8018" w:rsidR="00E26FF9" w:rsidRPr="00EB744B" w:rsidRDefault="00761C9E" w:rsidP="003965E5">
      <w:pPr>
        <w:pStyle w:val="Caption"/>
        <w:jc w:val="center"/>
        <w:rPr>
          <w:sz w:val="22"/>
          <w:szCs w:val="22"/>
        </w:rPr>
      </w:pPr>
      <w:r>
        <w:rPr>
          <w:noProof/>
          <w:lang w:eastAsia="zh-CN"/>
        </w:rPr>
        <w:drawing>
          <wp:inline distT="0" distB="0" distL="0" distR="0" wp14:anchorId="7834E7C4" wp14:editId="34998D17">
            <wp:extent cx="5727700" cy="3279140"/>
            <wp:effectExtent l="0" t="0" r="1270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27700" cy="3279140"/>
                    </a:xfrm>
                    <a:prstGeom prst="rect">
                      <a:avLst/>
                    </a:prstGeom>
                  </pic:spPr>
                </pic:pic>
              </a:graphicData>
            </a:graphic>
          </wp:inline>
        </w:drawing>
      </w:r>
    </w:p>
    <w:p w14:paraId="0E801E97" w14:textId="0F856A23" w:rsidR="007267BC" w:rsidRPr="00EB744B" w:rsidRDefault="007267BC" w:rsidP="007267BC">
      <w:pPr>
        <w:pStyle w:val="Caption"/>
        <w:rPr>
          <w:sz w:val="22"/>
          <w:szCs w:val="22"/>
        </w:rPr>
      </w:pPr>
      <w:r w:rsidRPr="00EB744B">
        <w:rPr>
          <w:sz w:val="22"/>
          <w:szCs w:val="22"/>
        </w:rPr>
        <w:t xml:space="preserve">Figure </w:t>
      </w:r>
      <w:r w:rsidR="005262B0" w:rsidRPr="00EB744B">
        <w:rPr>
          <w:sz w:val="22"/>
          <w:szCs w:val="22"/>
        </w:rPr>
        <w:fldChar w:fldCharType="begin"/>
      </w:r>
      <w:r w:rsidR="005262B0" w:rsidRPr="00EB744B">
        <w:rPr>
          <w:sz w:val="22"/>
          <w:szCs w:val="22"/>
        </w:rPr>
        <w:instrText xml:space="preserve"> SEQ Figure \* ARABIC </w:instrText>
      </w:r>
      <w:r w:rsidR="005262B0" w:rsidRPr="00EB744B">
        <w:rPr>
          <w:sz w:val="22"/>
          <w:szCs w:val="22"/>
        </w:rPr>
        <w:fldChar w:fldCharType="separate"/>
      </w:r>
      <w:r w:rsidRPr="00EB744B">
        <w:rPr>
          <w:noProof/>
          <w:sz w:val="22"/>
          <w:szCs w:val="22"/>
        </w:rPr>
        <w:t>4</w:t>
      </w:r>
      <w:r w:rsidR="005262B0" w:rsidRPr="00EB744B">
        <w:rPr>
          <w:noProof/>
          <w:sz w:val="22"/>
          <w:szCs w:val="22"/>
        </w:rPr>
        <w:fldChar w:fldCharType="end"/>
      </w:r>
      <w:r w:rsidRPr="00EB744B">
        <w:rPr>
          <w:sz w:val="22"/>
          <w:szCs w:val="22"/>
        </w:rPr>
        <w:t>: Baseline with the contributions of cost-effective, technical potential and stretch options</w:t>
      </w:r>
    </w:p>
    <w:p w14:paraId="27EBA1C4" w14:textId="51AD79AF" w:rsidR="00E26FF9" w:rsidRPr="00EB744B" w:rsidRDefault="00E26FF9" w:rsidP="00E26FF9">
      <w:pPr>
        <w:rPr>
          <w:sz w:val="22"/>
          <w:szCs w:val="22"/>
        </w:rPr>
      </w:pPr>
    </w:p>
    <w:p w14:paraId="433677E7" w14:textId="7FA57F36" w:rsidR="00E26FF9" w:rsidRPr="00EB744B" w:rsidRDefault="00E26FF9" w:rsidP="00EB744B">
      <w:pPr>
        <w:rPr>
          <w:sz w:val="22"/>
          <w:szCs w:val="22"/>
        </w:rPr>
      </w:pPr>
      <w:r w:rsidRPr="00EB744B">
        <w:rPr>
          <w:sz w:val="22"/>
          <w:szCs w:val="22"/>
        </w:rPr>
        <w:t>Exploiting the cost-effective options in households, public and commercial buildings, transport and waste could be economically benef</w:t>
      </w:r>
      <w:r w:rsidRPr="0079779C">
        <w:rPr>
          <w:sz w:val="22"/>
          <w:szCs w:val="22"/>
        </w:rPr>
        <w:t>icial. Although such measures would require investments of £</w:t>
      </w:r>
      <w:r w:rsidR="003B233F">
        <w:rPr>
          <w:sz w:val="22"/>
          <w:szCs w:val="22"/>
        </w:rPr>
        <w:t>16.5 billion</w:t>
      </w:r>
      <w:r w:rsidRPr="0079779C">
        <w:rPr>
          <w:sz w:val="22"/>
          <w:szCs w:val="22"/>
        </w:rPr>
        <w:t xml:space="preserve">, once adopted they would reduce </w:t>
      </w:r>
      <w:r w:rsidR="00F815B7" w:rsidRPr="0079779C">
        <w:rPr>
          <w:rFonts w:eastAsia="Times New Roman" w:cs="Times New Roman"/>
          <w:color w:val="000000" w:themeColor="text1"/>
          <w:sz w:val="22"/>
          <w:szCs w:val="22"/>
          <w:lang w:eastAsia="zh-CN"/>
        </w:rPr>
        <w:t>Yorkshire and Humber</w:t>
      </w:r>
      <w:r w:rsidRPr="0079779C">
        <w:rPr>
          <w:sz w:val="22"/>
          <w:szCs w:val="22"/>
        </w:rPr>
        <w:t xml:space="preserve">’s total energy bill by </w:t>
      </w:r>
      <w:r w:rsidR="003B233F">
        <w:rPr>
          <w:sz w:val="22"/>
          <w:szCs w:val="22"/>
        </w:rPr>
        <w:t>£2.6 billion</w:t>
      </w:r>
      <w:r w:rsidRPr="0079779C">
        <w:rPr>
          <w:sz w:val="22"/>
          <w:szCs w:val="22"/>
        </w:rPr>
        <w:t xml:space="preserve"> p.a. whilst also creating </w:t>
      </w:r>
      <w:r w:rsidR="003B233F">
        <w:rPr>
          <w:sz w:val="22"/>
          <w:szCs w:val="22"/>
        </w:rPr>
        <w:t>34</w:t>
      </w:r>
      <w:r w:rsidR="0079779C" w:rsidRPr="0079779C">
        <w:rPr>
          <w:sz w:val="22"/>
          <w:szCs w:val="22"/>
        </w:rPr>
        <w:t>,</w:t>
      </w:r>
      <w:r w:rsidR="0079779C">
        <w:rPr>
          <w:sz w:val="22"/>
          <w:szCs w:val="22"/>
        </w:rPr>
        <w:t>932</w:t>
      </w:r>
      <w:r w:rsidRPr="00EB744B">
        <w:rPr>
          <w:sz w:val="22"/>
          <w:szCs w:val="22"/>
        </w:rPr>
        <w:t xml:space="preserve"> </w:t>
      </w:r>
      <w:r w:rsidR="001B7362" w:rsidRPr="00EB744B">
        <w:rPr>
          <w:sz w:val="22"/>
          <w:szCs w:val="22"/>
        </w:rPr>
        <w:t>years of employment</w:t>
      </w:r>
      <w:r w:rsidRPr="00EB744B">
        <w:rPr>
          <w:sz w:val="22"/>
          <w:szCs w:val="22"/>
        </w:rPr>
        <w:t xml:space="preserve">. However, exploiting the technically viable options would be more expensive, at least under current prices. </w:t>
      </w:r>
    </w:p>
    <w:p w14:paraId="4A42DBE4" w14:textId="597EC3D3" w:rsidR="00404492" w:rsidRPr="00EB744B" w:rsidRDefault="00404492" w:rsidP="00404492">
      <w:pPr>
        <w:rPr>
          <w:sz w:val="22"/>
          <w:szCs w:val="22"/>
        </w:rPr>
      </w:pPr>
    </w:p>
    <w:p w14:paraId="6F2B69CA" w14:textId="70985799" w:rsidR="00E26FF9" w:rsidRPr="00EB744B" w:rsidRDefault="00E26FF9" w:rsidP="00404492">
      <w:pPr>
        <w:rPr>
          <w:sz w:val="22"/>
          <w:szCs w:val="22"/>
        </w:rPr>
      </w:pPr>
      <w:r w:rsidRPr="00EB744B">
        <w:rPr>
          <w:sz w:val="22"/>
          <w:szCs w:val="22"/>
        </w:rPr>
        <w:t xml:space="preserve">Across the two categories (cost-effective and technically viable options), league tables of the most carbon and cost effective options are presented below. </w:t>
      </w:r>
    </w:p>
    <w:p w14:paraId="36B80A62" w14:textId="77777777" w:rsidR="001B7362" w:rsidRPr="00EB744B" w:rsidRDefault="001B7362" w:rsidP="001B7362">
      <w:pPr>
        <w:rPr>
          <w:sz w:val="22"/>
          <w:szCs w:val="22"/>
        </w:rPr>
      </w:pPr>
    </w:p>
    <w:p w14:paraId="52A78A24" w14:textId="77777777" w:rsidR="001B7362" w:rsidRPr="00EB744B" w:rsidRDefault="001B7362" w:rsidP="001B7362">
      <w:pPr>
        <w:rPr>
          <w:sz w:val="22"/>
          <w:szCs w:val="22"/>
        </w:rPr>
      </w:pPr>
    </w:p>
    <w:p w14:paraId="7BE6940A" w14:textId="707BEB5A" w:rsidR="00615EF7" w:rsidRDefault="00615EF7" w:rsidP="001B7362">
      <w:pPr>
        <w:rPr>
          <w:color w:val="4472C4" w:themeColor="accent5"/>
          <w:sz w:val="22"/>
          <w:szCs w:val="22"/>
        </w:rPr>
      </w:pPr>
      <w:r w:rsidRPr="00EB744B">
        <w:rPr>
          <w:color w:val="4472C4" w:themeColor="accent5"/>
          <w:sz w:val="22"/>
          <w:szCs w:val="22"/>
        </w:rPr>
        <w:t>Most carbon effective options:</w:t>
      </w:r>
      <w:r w:rsidR="008716D8" w:rsidRPr="00EB744B">
        <w:rPr>
          <w:color w:val="4472C4" w:themeColor="accent5"/>
          <w:sz w:val="22"/>
          <w:szCs w:val="22"/>
        </w:rPr>
        <w:t xml:space="preserve"> </w:t>
      </w:r>
    </w:p>
    <w:p w14:paraId="0B51D0B7" w14:textId="77777777" w:rsidR="00450B8C" w:rsidRPr="00EB744B" w:rsidRDefault="00450B8C" w:rsidP="001B7362">
      <w:pPr>
        <w:rPr>
          <w:rFonts w:eastAsiaTheme="majorEastAsia" w:cstheme="majorBidi"/>
          <w:color w:val="4472C4" w:themeColor="accent5"/>
          <w:sz w:val="22"/>
          <w:szCs w:val="22"/>
        </w:rPr>
      </w:pPr>
    </w:p>
    <w:p w14:paraId="12FFA47E" w14:textId="18FCF9CD" w:rsidR="007C3EBD" w:rsidRPr="00EB744B" w:rsidRDefault="00450B8C" w:rsidP="007C3EBD">
      <w:pPr>
        <w:rPr>
          <w:sz w:val="22"/>
          <w:szCs w:val="22"/>
        </w:rPr>
      </w:pPr>
      <w:r>
        <w:rPr>
          <w:noProof/>
          <w:lang w:eastAsia="zh-CN"/>
        </w:rPr>
        <w:drawing>
          <wp:inline distT="0" distB="0" distL="0" distR="0" wp14:anchorId="3C07E60B" wp14:editId="70DDEF2C">
            <wp:extent cx="5727700" cy="2374265"/>
            <wp:effectExtent l="0" t="0" r="12700"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5"/>
                    <a:stretch>
                      <a:fillRect/>
                    </a:stretch>
                  </pic:blipFill>
                  <pic:spPr>
                    <a:xfrm>
                      <a:off x="0" y="0"/>
                      <a:ext cx="5727700" cy="2374265"/>
                    </a:xfrm>
                    <a:prstGeom prst="rect">
                      <a:avLst/>
                    </a:prstGeom>
                  </pic:spPr>
                </pic:pic>
              </a:graphicData>
            </a:graphic>
          </wp:inline>
        </w:drawing>
      </w:r>
    </w:p>
    <w:p w14:paraId="1F94FC62" w14:textId="7431BE6F" w:rsidR="00615EF7" w:rsidRPr="00EB744B" w:rsidRDefault="00615EF7" w:rsidP="002E7763">
      <w:pPr>
        <w:jc w:val="center"/>
        <w:rPr>
          <w:sz w:val="22"/>
          <w:szCs w:val="22"/>
        </w:rPr>
      </w:pPr>
    </w:p>
    <w:p w14:paraId="60320C75" w14:textId="77A88124" w:rsidR="007D6940" w:rsidRPr="00EB744B" w:rsidRDefault="007D6940" w:rsidP="009050B5">
      <w:pPr>
        <w:jc w:val="center"/>
        <w:rPr>
          <w:sz w:val="22"/>
          <w:szCs w:val="22"/>
        </w:rPr>
      </w:pPr>
    </w:p>
    <w:p w14:paraId="4BA00EB7" w14:textId="56616B61" w:rsidR="00615EF7" w:rsidRPr="00EB744B" w:rsidRDefault="00615EF7" w:rsidP="00615EF7">
      <w:pPr>
        <w:pStyle w:val="Heading3"/>
        <w:rPr>
          <w:rFonts w:asciiTheme="minorHAnsi" w:hAnsiTheme="minorHAnsi"/>
          <w:sz w:val="22"/>
          <w:szCs w:val="22"/>
        </w:rPr>
      </w:pPr>
      <w:r w:rsidRPr="00EB744B">
        <w:rPr>
          <w:rFonts w:asciiTheme="minorHAnsi" w:hAnsiTheme="minorHAnsi"/>
          <w:sz w:val="22"/>
          <w:szCs w:val="22"/>
        </w:rPr>
        <w:t>Most cost-effective options:</w:t>
      </w:r>
    </w:p>
    <w:p w14:paraId="3F30BBC3" w14:textId="77777777" w:rsidR="00615EF7" w:rsidRPr="00EB744B" w:rsidRDefault="00615EF7" w:rsidP="00404492">
      <w:pPr>
        <w:rPr>
          <w:sz w:val="22"/>
          <w:szCs w:val="22"/>
        </w:rPr>
      </w:pPr>
    </w:p>
    <w:p w14:paraId="73CB23F7" w14:textId="7D84231D" w:rsidR="00705173" w:rsidRPr="00EB744B" w:rsidRDefault="00450B8C" w:rsidP="002E7763">
      <w:pPr>
        <w:tabs>
          <w:tab w:val="left" w:pos="678"/>
        </w:tabs>
        <w:jc w:val="center"/>
        <w:rPr>
          <w:sz w:val="22"/>
          <w:szCs w:val="22"/>
        </w:rPr>
      </w:pPr>
      <w:r>
        <w:rPr>
          <w:noProof/>
          <w:lang w:eastAsia="zh-CN"/>
        </w:rPr>
        <w:drawing>
          <wp:inline distT="0" distB="0" distL="0" distR="0" wp14:anchorId="5143FD87" wp14:editId="1EADC456">
            <wp:extent cx="5727700" cy="2388870"/>
            <wp:effectExtent l="0" t="0" r="12700" b="0"/>
            <wp:docPr id="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6"/>
                    <a:stretch>
                      <a:fillRect/>
                    </a:stretch>
                  </pic:blipFill>
                  <pic:spPr>
                    <a:xfrm>
                      <a:off x="0" y="0"/>
                      <a:ext cx="5727700" cy="2388870"/>
                    </a:xfrm>
                    <a:prstGeom prst="rect">
                      <a:avLst/>
                    </a:prstGeom>
                  </pic:spPr>
                </pic:pic>
              </a:graphicData>
            </a:graphic>
          </wp:inline>
        </w:drawing>
      </w:r>
    </w:p>
    <w:p w14:paraId="2DCA569B" w14:textId="46693BAB" w:rsidR="00DD2F9F" w:rsidRPr="00EB744B" w:rsidRDefault="00DD2F9F" w:rsidP="007D6940">
      <w:pPr>
        <w:tabs>
          <w:tab w:val="left" w:pos="678"/>
        </w:tabs>
        <w:jc w:val="center"/>
        <w:rPr>
          <w:sz w:val="22"/>
          <w:szCs w:val="22"/>
        </w:rPr>
      </w:pPr>
    </w:p>
    <w:p w14:paraId="4E22F446" w14:textId="4332496E" w:rsidR="00DD2F9F" w:rsidRPr="00EB744B" w:rsidRDefault="009050B5" w:rsidP="00EB744B">
      <w:pPr>
        <w:tabs>
          <w:tab w:val="left" w:pos="678"/>
        </w:tabs>
        <w:rPr>
          <w:sz w:val="22"/>
          <w:szCs w:val="22"/>
        </w:rPr>
      </w:pPr>
      <w:r w:rsidRPr="00EB744B">
        <w:rPr>
          <w:sz w:val="22"/>
          <w:szCs w:val="22"/>
        </w:rPr>
        <w:t xml:space="preserve">Some of the ideas for innovative options identified elsewhere, that could also be considered for </w:t>
      </w:r>
      <w:r w:rsidR="00F815B7" w:rsidRPr="004E1028">
        <w:rPr>
          <w:rFonts w:eastAsia="Times New Roman" w:cs="Times New Roman"/>
          <w:color w:val="000000" w:themeColor="text1"/>
          <w:sz w:val="22"/>
          <w:szCs w:val="22"/>
          <w:lang w:eastAsia="zh-CN"/>
        </w:rPr>
        <w:t>Yorkshire and Humber</w:t>
      </w:r>
      <w:r w:rsidRPr="004E1028">
        <w:rPr>
          <w:sz w:val="22"/>
          <w:szCs w:val="22"/>
        </w:rPr>
        <w:t>,</w:t>
      </w:r>
      <w:r w:rsidRPr="00EB744B">
        <w:rPr>
          <w:sz w:val="22"/>
          <w:szCs w:val="22"/>
        </w:rPr>
        <w:t xml:space="preserve"> include targeting a transition to net zero homes and public/commercial buildings by 2030, promoting the rapid acceleration of active travel (e.g. walking and cycling) and the adoption of electric vehicles, tackling food waste, reducing meat and dairy consumption and reducing concrete and steel consumption/promoting adoption of green infrastructure.</w:t>
      </w:r>
    </w:p>
    <w:p w14:paraId="62824335" w14:textId="3A592431" w:rsidR="009050B5" w:rsidRPr="00EB744B" w:rsidRDefault="009050B5" w:rsidP="00DD2F9F">
      <w:pPr>
        <w:tabs>
          <w:tab w:val="left" w:pos="678"/>
        </w:tabs>
        <w:rPr>
          <w:sz w:val="22"/>
          <w:szCs w:val="22"/>
        </w:rPr>
      </w:pPr>
    </w:p>
    <w:p w14:paraId="08CE40C6" w14:textId="6B979EA7" w:rsidR="009050B5" w:rsidRPr="00EB744B" w:rsidRDefault="009050B5" w:rsidP="00DD2F9F">
      <w:pPr>
        <w:tabs>
          <w:tab w:val="left" w:pos="678"/>
        </w:tabs>
        <w:rPr>
          <w:sz w:val="22"/>
          <w:szCs w:val="22"/>
        </w:rPr>
      </w:pPr>
    </w:p>
    <w:p w14:paraId="2646ACA9" w14:textId="27D7A766" w:rsidR="009050B5" w:rsidRPr="00D05C65" w:rsidRDefault="009050B5" w:rsidP="00EB744B">
      <w:pPr>
        <w:rPr>
          <w:b/>
          <w:color w:val="4472C4" w:themeColor="accent5"/>
          <w:sz w:val="22"/>
          <w:szCs w:val="22"/>
        </w:rPr>
      </w:pPr>
      <w:r w:rsidRPr="00EB744B">
        <w:rPr>
          <w:b/>
          <w:color w:val="4472C4" w:themeColor="accent5"/>
          <w:sz w:val="22"/>
          <w:szCs w:val="22"/>
        </w:rPr>
        <w:t xml:space="preserve">Next Steps for </w:t>
      </w:r>
      <w:r w:rsidR="00F815B7" w:rsidRPr="00D05C65">
        <w:rPr>
          <w:b/>
          <w:color w:val="4472C4" w:themeColor="accent5"/>
          <w:sz w:val="22"/>
          <w:szCs w:val="22"/>
        </w:rPr>
        <w:t>Yorkshire and Humber</w:t>
      </w:r>
    </w:p>
    <w:p w14:paraId="12380A52" w14:textId="0AF0A856" w:rsidR="009050B5" w:rsidRPr="00EB744B" w:rsidRDefault="009050B5" w:rsidP="009050B5">
      <w:pPr>
        <w:rPr>
          <w:sz w:val="22"/>
          <w:szCs w:val="22"/>
        </w:rPr>
      </w:pPr>
    </w:p>
    <w:p w14:paraId="4D7695BA" w14:textId="60D75E6F" w:rsidR="009050B5" w:rsidRPr="00EB744B" w:rsidRDefault="009050B5" w:rsidP="009050B5">
      <w:pPr>
        <w:rPr>
          <w:sz w:val="22"/>
          <w:szCs w:val="22"/>
        </w:rPr>
      </w:pPr>
      <w:r w:rsidRPr="00EB744B">
        <w:rPr>
          <w:sz w:val="22"/>
          <w:szCs w:val="22"/>
        </w:rPr>
        <w:t xml:space="preserve">Based on the experiences of other UK </w:t>
      </w:r>
      <w:r w:rsidRPr="00702BF1">
        <w:rPr>
          <w:sz w:val="22"/>
          <w:szCs w:val="22"/>
        </w:rPr>
        <w:t>c</w:t>
      </w:r>
      <w:r w:rsidR="00702BF1" w:rsidRPr="00702BF1">
        <w:rPr>
          <w:sz w:val="22"/>
          <w:szCs w:val="22"/>
        </w:rPr>
        <w:t>ities and regions</w:t>
      </w:r>
      <w:r w:rsidRPr="00702BF1">
        <w:rPr>
          <w:sz w:val="22"/>
          <w:szCs w:val="22"/>
        </w:rPr>
        <w:t>, we</w:t>
      </w:r>
      <w:r w:rsidRPr="00EB744B">
        <w:rPr>
          <w:sz w:val="22"/>
          <w:szCs w:val="22"/>
        </w:rPr>
        <w:t xml:space="preserve"> would recommend the following basic steps:</w:t>
      </w:r>
    </w:p>
    <w:p w14:paraId="27CC81BD" w14:textId="6B99E921" w:rsidR="009050B5" w:rsidRPr="00EB744B" w:rsidRDefault="009050B5" w:rsidP="009050B5">
      <w:pPr>
        <w:rPr>
          <w:sz w:val="22"/>
          <w:szCs w:val="22"/>
        </w:rPr>
      </w:pPr>
    </w:p>
    <w:p w14:paraId="0A917D0B" w14:textId="1651A827" w:rsidR="009050B5" w:rsidRPr="00EB744B" w:rsidRDefault="009050B5" w:rsidP="009050B5">
      <w:pPr>
        <w:pStyle w:val="ListParagraph"/>
        <w:numPr>
          <w:ilvl w:val="0"/>
          <w:numId w:val="3"/>
        </w:numPr>
        <w:rPr>
          <w:sz w:val="22"/>
          <w:szCs w:val="22"/>
        </w:rPr>
      </w:pPr>
      <w:r w:rsidRPr="00EB744B">
        <w:rPr>
          <w:sz w:val="22"/>
          <w:szCs w:val="22"/>
        </w:rPr>
        <w:t>Declaring a climate emergency and adopting 5 yearly carbon reduction targets;</w:t>
      </w:r>
    </w:p>
    <w:p w14:paraId="67AB7867" w14:textId="5CEB6D42" w:rsidR="009050B5" w:rsidRPr="00EB744B" w:rsidRDefault="009050B5" w:rsidP="009050B5">
      <w:pPr>
        <w:pStyle w:val="ListParagraph"/>
        <w:numPr>
          <w:ilvl w:val="0"/>
          <w:numId w:val="3"/>
        </w:numPr>
        <w:rPr>
          <w:sz w:val="22"/>
          <w:szCs w:val="22"/>
        </w:rPr>
      </w:pPr>
      <w:r w:rsidRPr="00EB744B">
        <w:rPr>
          <w:sz w:val="22"/>
          <w:szCs w:val="22"/>
        </w:rPr>
        <w:t>Developing</w:t>
      </w:r>
      <w:r w:rsidR="00936F44" w:rsidRPr="00EB744B">
        <w:rPr>
          <w:sz w:val="22"/>
          <w:szCs w:val="22"/>
        </w:rPr>
        <w:t xml:space="preserve">, consulting on and publishing </w:t>
      </w:r>
      <w:r w:rsidRPr="00EB744B">
        <w:rPr>
          <w:sz w:val="22"/>
          <w:szCs w:val="22"/>
        </w:rPr>
        <w:t xml:space="preserve">a climate action plan that sets out the steps needed to meet those targets and </w:t>
      </w:r>
      <w:r w:rsidR="00B677D9" w:rsidRPr="00EB744B">
        <w:rPr>
          <w:sz w:val="22"/>
          <w:szCs w:val="22"/>
        </w:rPr>
        <w:t xml:space="preserve">that </w:t>
      </w:r>
      <w:r w:rsidRPr="00EB744B">
        <w:rPr>
          <w:sz w:val="22"/>
          <w:szCs w:val="22"/>
        </w:rPr>
        <w:t>enables capacities to be built, key barriers to be identified and removed and progress to be tracked;</w:t>
      </w:r>
    </w:p>
    <w:p w14:paraId="63350483" w14:textId="3E8FD800" w:rsidR="009050B5" w:rsidRPr="00EB744B" w:rsidRDefault="009050B5" w:rsidP="009050B5">
      <w:pPr>
        <w:pStyle w:val="ListParagraph"/>
        <w:numPr>
          <w:ilvl w:val="0"/>
          <w:numId w:val="3"/>
        </w:numPr>
        <w:rPr>
          <w:sz w:val="22"/>
          <w:szCs w:val="22"/>
        </w:rPr>
      </w:pPr>
      <w:r w:rsidRPr="00EB744B">
        <w:rPr>
          <w:sz w:val="22"/>
          <w:szCs w:val="22"/>
        </w:rPr>
        <w:t xml:space="preserve">Adopting an independent climate commission to act as a critical friend to the </w:t>
      </w:r>
      <w:r w:rsidR="00702BF1">
        <w:rPr>
          <w:sz w:val="22"/>
          <w:szCs w:val="22"/>
        </w:rPr>
        <w:t>area</w:t>
      </w:r>
      <w:r w:rsidRPr="00EB744B">
        <w:rPr>
          <w:sz w:val="22"/>
          <w:szCs w:val="22"/>
        </w:rPr>
        <w:t xml:space="preserve">, to draw actors together to </w:t>
      </w:r>
      <w:r w:rsidR="00936F44" w:rsidRPr="00EB744B">
        <w:rPr>
          <w:sz w:val="22"/>
          <w:szCs w:val="22"/>
        </w:rPr>
        <w:t xml:space="preserve">share responsibilities, </w:t>
      </w:r>
      <w:r w:rsidRPr="00EB744B">
        <w:rPr>
          <w:sz w:val="22"/>
          <w:szCs w:val="22"/>
        </w:rPr>
        <w:t>build capacities,</w:t>
      </w:r>
      <w:r w:rsidR="00B677D9" w:rsidRPr="00EB744B">
        <w:rPr>
          <w:sz w:val="22"/>
          <w:szCs w:val="22"/>
        </w:rPr>
        <w:t xml:space="preserve"> coordinate actions,</w:t>
      </w:r>
      <w:r w:rsidRPr="00EB744B">
        <w:rPr>
          <w:sz w:val="22"/>
          <w:szCs w:val="22"/>
        </w:rPr>
        <w:t xml:space="preserve"> </w:t>
      </w:r>
      <w:r w:rsidR="00936F44" w:rsidRPr="00EB744B">
        <w:rPr>
          <w:sz w:val="22"/>
          <w:szCs w:val="22"/>
        </w:rPr>
        <w:t xml:space="preserve">celebrate successes and </w:t>
      </w:r>
      <w:r w:rsidRPr="00EB744B">
        <w:rPr>
          <w:sz w:val="22"/>
          <w:szCs w:val="22"/>
        </w:rPr>
        <w:t xml:space="preserve">collate evidence </w:t>
      </w:r>
      <w:r w:rsidR="00936F44" w:rsidRPr="00EB744B">
        <w:rPr>
          <w:sz w:val="22"/>
          <w:szCs w:val="22"/>
        </w:rPr>
        <w:t xml:space="preserve">to </w:t>
      </w:r>
      <w:r w:rsidRPr="00EB744B">
        <w:rPr>
          <w:sz w:val="22"/>
          <w:szCs w:val="22"/>
        </w:rPr>
        <w:t xml:space="preserve">guide and track the transition; </w:t>
      </w:r>
    </w:p>
    <w:p w14:paraId="76DB326F" w14:textId="610DEBBE" w:rsidR="00752E1D" w:rsidRPr="00EB744B" w:rsidRDefault="00752E1D" w:rsidP="009050B5">
      <w:pPr>
        <w:pStyle w:val="ListParagraph"/>
        <w:numPr>
          <w:ilvl w:val="0"/>
          <w:numId w:val="3"/>
        </w:numPr>
        <w:rPr>
          <w:sz w:val="22"/>
          <w:szCs w:val="22"/>
        </w:rPr>
      </w:pPr>
      <w:r w:rsidRPr="00EB744B">
        <w:rPr>
          <w:sz w:val="22"/>
          <w:szCs w:val="22"/>
        </w:rPr>
        <w:t xml:space="preserve">Developing leadership groups for key activity areas in homes, public and commercial buildings, transport and industry, with plans for delivery of priority actions in each sector. </w:t>
      </w:r>
    </w:p>
    <w:p w14:paraId="395B5545" w14:textId="5D3A1564" w:rsidR="009050B5" w:rsidRPr="00EB744B" w:rsidRDefault="009050B5" w:rsidP="009050B5">
      <w:pPr>
        <w:pStyle w:val="ListParagraph"/>
        <w:numPr>
          <w:ilvl w:val="0"/>
          <w:numId w:val="3"/>
        </w:numPr>
        <w:rPr>
          <w:sz w:val="22"/>
          <w:szCs w:val="22"/>
        </w:rPr>
      </w:pPr>
      <w:r w:rsidRPr="00EB744B">
        <w:rPr>
          <w:sz w:val="22"/>
          <w:szCs w:val="22"/>
        </w:rPr>
        <w:t xml:space="preserve">Encouraging all large organisations and businesses in the </w:t>
      </w:r>
      <w:r w:rsidR="00702BF1">
        <w:rPr>
          <w:sz w:val="22"/>
          <w:szCs w:val="22"/>
        </w:rPr>
        <w:t>area</w:t>
      </w:r>
      <w:r w:rsidRPr="00EB744B">
        <w:rPr>
          <w:sz w:val="22"/>
          <w:szCs w:val="22"/>
        </w:rPr>
        <w:t xml:space="preserve"> to match the broader carbon reduction commitments and to report back on progress;</w:t>
      </w:r>
    </w:p>
    <w:p w14:paraId="0B790BDC" w14:textId="11467CAA" w:rsidR="00936F44" w:rsidRPr="00EB744B" w:rsidRDefault="00702BF1" w:rsidP="00936F44">
      <w:pPr>
        <w:pStyle w:val="ListParagraph"/>
        <w:numPr>
          <w:ilvl w:val="0"/>
          <w:numId w:val="3"/>
        </w:numPr>
        <w:rPr>
          <w:sz w:val="22"/>
          <w:szCs w:val="22"/>
        </w:rPr>
      </w:pPr>
      <w:r>
        <w:rPr>
          <w:sz w:val="22"/>
          <w:szCs w:val="22"/>
        </w:rPr>
        <w:t xml:space="preserve">Ensuring that </w:t>
      </w:r>
      <w:r w:rsidR="00936F44" w:rsidRPr="004E1028">
        <w:rPr>
          <w:sz w:val="22"/>
          <w:szCs w:val="22"/>
        </w:rPr>
        <w:t>council</w:t>
      </w:r>
      <w:r w:rsidR="004E1028">
        <w:rPr>
          <w:sz w:val="22"/>
          <w:szCs w:val="22"/>
        </w:rPr>
        <w:t>’s within the region lead</w:t>
      </w:r>
      <w:r w:rsidR="00936F44" w:rsidRPr="00EB744B">
        <w:rPr>
          <w:sz w:val="22"/>
          <w:szCs w:val="22"/>
        </w:rPr>
        <w:t xml:space="preserve"> the way by integrating climate change into all of its activities and by requiring new planning applications or policy proposals to assess and communicate their contributions to/impacts on the carbon target;</w:t>
      </w:r>
    </w:p>
    <w:p w14:paraId="304C9C5B" w14:textId="0FCAF65D" w:rsidR="009050B5" w:rsidRPr="00EB744B" w:rsidRDefault="009050B5" w:rsidP="009050B5">
      <w:pPr>
        <w:pStyle w:val="ListParagraph"/>
        <w:numPr>
          <w:ilvl w:val="0"/>
          <w:numId w:val="3"/>
        </w:numPr>
        <w:rPr>
          <w:sz w:val="22"/>
          <w:szCs w:val="22"/>
        </w:rPr>
      </w:pPr>
      <w:r w:rsidRPr="00EB744B">
        <w:rPr>
          <w:sz w:val="22"/>
          <w:szCs w:val="22"/>
        </w:rPr>
        <w:t xml:space="preserve">Developing detailed engagements with all social groups in the </w:t>
      </w:r>
      <w:r w:rsidR="00702BF1">
        <w:rPr>
          <w:sz w:val="22"/>
          <w:szCs w:val="22"/>
        </w:rPr>
        <w:t>area</w:t>
      </w:r>
      <w:r w:rsidRPr="00EB744B">
        <w:rPr>
          <w:sz w:val="22"/>
          <w:szCs w:val="22"/>
        </w:rPr>
        <w:t xml:space="preserve"> to build a social license for transformative change and to ensure that people and places are not left behind</w:t>
      </w:r>
      <w:r w:rsidR="00936F44" w:rsidRPr="00EB744B">
        <w:rPr>
          <w:sz w:val="22"/>
          <w:szCs w:val="22"/>
        </w:rPr>
        <w:t>.</w:t>
      </w:r>
    </w:p>
    <w:p w14:paraId="32AE6BBF" w14:textId="0053B4AB" w:rsidR="009050B5" w:rsidRPr="00EB744B" w:rsidRDefault="009050B5" w:rsidP="009050B5">
      <w:pPr>
        <w:tabs>
          <w:tab w:val="left" w:pos="678"/>
        </w:tabs>
        <w:rPr>
          <w:sz w:val="22"/>
          <w:szCs w:val="22"/>
          <w:vertAlign w:val="subscript"/>
        </w:rPr>
      </w:pPr>
    </w:p>
    <w:sectPr w:rsidR="009050B5" w:rsidRPr="00EB744B" w:rsidSect="00A919AF">
      <w:headerReference w:type="default" r:id="rId17"/>
      <w:footerReference w:type="default" r:id="rId18"/>
      <w:pgSz w:w="11900" w:h="16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9A9F4" w14:textId="77777777" w:rsidR="00481E1A" w:rsidRDefault="00481E1A" w:rsidP="00B87C1B">
      <w:r>
        <w:separator/>
      </w:r>
    </w:p>
  </w:endnote>
  <w:endnote w:type="continuationSeparator" w:id="0">
    <w:p w14:paraId="6BB796A5" w14:textId="77777777" w:rsidR="00481E1A" w:rsidRDefault="00481E1A" w:rsidP="00B8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0B075" w14:textId="00AFCE79" w:rsidR="0007584F" w:rsidRPr="002E7AE2" w:rsidRDefault="002E7AE2" w:rsidP="0007584F">
    <w:pPr>
      <w:pStyle w:val="Header"/>
      <w:jc w:val="center"/>
      <w:rPr>
        <w:color w:val="7F7F7F" w:themeColor="text1" w:themeTint="80"/>
      </w:rPr>
    </w:pPr>
    <w:r w:rsidRPr="002E7AE2">
      <w:rPr>
        <w:color w:val="7F7F7F" w:themeColor="text1" w:themeTint="80"/>
      </w:rPr>
      <w:t>www.pcancities.org</w:t>
    </w:r>
    <w:r>
      <w:rPr>
        <w:color w:val="7F7F7F" w:themeColor="text1" w:themeTint="80"/>
      </w:rPr>
      <w:t>.uk</w:t>
    </w:r>
  </w:p>
  <w:p w14:paraId="0F2DF087" w14:textId="77777777" w:rsidR="0007584F" w:rsidRDefault="000758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01090" w14:textId="77777777" w:rsidR="00481E1A" w:rsidRDefault="00481E1A" w:rsidP="00B87C1B">
      <w:r>
        <w:separator/>
      </w:r>
    </w:p>
  </w:footnote>
  <w:footnote w:type="continuationSeparator" w:id="0">
    <w:p w14:paraId="0E9C8194" w14:textId="77777777" w:rsidR="00481E1A" w:rsidRDefault="00481E1A" w:rsidP="00B87C1B">
      <w:r>
        <w:continuationSeparator/>
      </w:r>
    </w:p>
  </w:footnote>
  <w:footnote w:id="1">
    <w:p w14:paraId="6FA0F776" w14:textId="77777777" w:rsidR="006E1295" w:rsidRDefault="006E1295" w:rsidP="006E1295">
      <w:pPr>
        <w:pStyle w:val="FootnoteText"/>
      </w:pPr>
      <w:r>
        <w:rPr>
          <w:rStyle w:val="FootnoteReference"/>
        </w:rPr>
        <w:footnoteRef/>
      </w:r>
      <w:r>
        <w:t xml:space="preserve"> For simplicity, we use the term carbon as shorthand for all greenhouse gases. All figures in this report relate to the carbon dioxide equivalent (CO2e) of all greenhouse gases.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715A9" w14:textId="11EBF215" w:rsidR="0007584F" w:rsidRDefault="0007584F" w:rsidP="0007584F">
    <w:pPr>
      <w:pStyle w:val="Header"/>
      <w:jc w:val="center"/>
      <w:rPr>
        <w:color w:val="FF0000"/>
      </w:rPr>
    </w:pPr>
  </w:p>
  <w:p w14:paraId="23B2D996" w14:textId="77777777" w:rsidR="002E7AE2" w:rsidRPr="0007584F" w:rsidRDefault="002E7AE2" w:rsidP="0007584F">
    <w:pPr>
      <w:pStyle w:val="Header"/>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969BE"/>
    <w:multiLevelType w:val="hybridMultilevel"/>
    <w:tmpl w:val="10BA06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56FE6"/>
    <w:multiLevelType w:val="hybridMultilevel"/>
    <w:tmpl w:val="5920A132"/>
    <w:lvl w:ilvl="0" w:tplc="200E0EC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679F5"/>
    <w:multiLevelType w:val="hybridMultilevel"/>
    <w:tmpl w:val="1D12A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453E32"/>
    <w:multiLevelType w:val="hybridMultilevel"/>
    <w:tmpl w:val="26D4E02A"/>
    <w:lvl w:ilvl="0" w:tplc="F42CCFD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617A15"/>
    <w:multiLevelType w:val="hybridMultilevel"/>
    <w:tmpl w:val="9EE8B9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C6E4E"/>
    <w:multiLevelType w:val="hybridMultilevel"/>
    <w:tmpl w:val="E0A82E38"/>
    <w:lvl w:ilvl="0" w:tplc="2798450A">
      <w:start w:val="1"/>
      <w:numFmt w:val="bullet"/>
      <w:lvlText w:val="-"/>
      <w:lvlJc w:val="left"/>
      <w:pPr>
        <w:ind w:left="720" w:hanging="360"/>
      </w:pPr>
      <w:rPr>
        <w:rFonts w:ascii="Calibri" w:eastAsiaTheme="majorEastAsia" w:hAnsi="Calibri"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35266"/>
    <w:multiLevelType w:val="hybridMultilevel"/>
    <w:tmpl w:val="D4CC1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F80021"/>
    <w:multiLevelType w:val="hybridMultilevel"/>
    <w:tmpl w:val="FBEC367A"/>
    <w:lvl w:ilvl="0" w:tplc="CB0AF4C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AD5BDF"/>
    <w:multiLevelType w:val="hybridMultilevel"/>
    <w:tmpl w:val="6E14635E"/>
    <w:lvl w:ilvl="0" w:tplc="8970231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5B562E"/>
    <w:multiLevelType w:val="hybridMultilevel"/>
    <w:tmpl w:val="679C629A"/>
    <w:lvl w:ilvl="0" w:tplc="30964E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num>
  <w:num w:numId="6">
    <w:abstractNumId w:val="9"/>
  </w:num>
  <w:num w:numId="7">
    <w:abstractNumId w:val="2"/>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7"/>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8F1"/>
    <w:rsid w:val="000319A3"/>
    <w:rsid w:val="00033162"/>
    <w:rsid w:val="00033B88"/>
    <w:rsid w:val="0004042E"/>
    <w:rsid w:val="0004282E"/>
    <w:rsid w:val="0007235F"/>
    <w:rsid w:val="0007584F"/>
    <w:rsid w:val="00090404"/>
    <w:rsid w:val="00095A4B"/>
    <w:rsid w:val="000977BA"/>
    <w:rsid w:val="000A7A46"/>
    <w:rsid w:val="000B693C"/>
    <w:rsid w:val="000B6C14"/>
    <w:rsid w:val="000F0BF1"/>
    <w:rsid w:val="000F0EE0"/>
    <w:rsid w:val="0010724E"/>
    <w:rsid w:val="001123DF"/>
    <w:rsid w:val="00117B5C"/>
    <w:rsid w:val="00147D1E"/>
    <w:rsid w:val="00152304"/>
    <w:rsid w:val="00184983"/>
    <w:rsid w:val="001B0AA6"/>
    <w:rsid w:val="001B4671"/>
    <w:rsid w:val="001B7362"/>
    <w:rsid w:val="0020659D"/>
    <w:rsid w:val="0021671E"/>
    <w:rsid w:val="00220F97"/>
    <w:rsid w:val="00232E02"/>
    <w:rsid w:val="00240DFD"/>
    <w:rsid w:val="00240E90"/>
    <w:rsid w:val="002528DF"/>
    <w:rsid w:val="00252DC4"/>
    <w:rsid w:val="002732E4"/>
    <w:rsid w:val="00283B73"/>
    <w:rsid w:val="002A7D8E"/>
    <w:rsid w:val="002B78A7"/>
    <w:rsid w:val="002C721C"/>
    <w:rsid w:val="002E7763"/>
    <w:rsid w:val="002E7AE2"/>
    <w:rsid w:val="002F2D57"/>
    <w:rsid w:val="003038BA"/>
    <w:rsid w:val="00306F32"/>
    <w:rsid w:val="0031307B"/>
    <w:rsid w:val="0031629B"/>
    <w:rsid w:val="0032161C"/>
    <w:rsid w:val="00332787"/>
    <w:rsid w:val="00347249"/>
    <w:rsid w:val="0035103C"/>
    <w:rsid w:val="003629DE"/>
    <w:rsid w:val="00373C1C"/>
    <w:rsid w:val="003818CE"/>
    <w:rsid w:val="0038306B"/>
    <w:rsid w:val="00393B9A"/>
    <w:rsid w:val="003965E5"/>
    <w:rsid w:val="00397E9B"/>
    <w:rsid w:val="003A0214"/>
    <w:rsid w:val="003B2230"/>
    <w:rsid w:val="003B233F"/>
    <w:rsid w:val="003B45EE"/>
    <w:rsid w:val="003E0A85"/>
    <w:rsid w:val="003E0CD2"/>
    <w:rsid w:val="003E41EB"/>
    <w:rsid w:val="003F6E2E"/>
    <w:rsid w:val="004010C7"/>
    <w:rsid w:val="00404492"/>
    <w:rsid w:val="00416DD3"/>
    <w:rsid w:val="004315D9"/>
    <w:rsid w:val="00443698"/>
    <w:rsid w:val="00446E29"/>
    <w:rsid w:val="00450B8C"/>
    <w:rsid w:val="00460793"/>
    <w:rsid w:val="00481E1A"/>
    <w:rsid w:val="00481FD0"/>
    <w:rsid w:val="004A5645"/>
    <w:rsid w:val="004C17A6"/>
    <w:rsid w:val="004E1028"/>
    <w:rsid w:val="004E3C2D"/>
    <w:rsid w:val="004E3F80"/>
    <w:rsid w:val="004E4EF5"/>
    <w:rsid w:val="004F7453"/>
    <w:rsid w:val="00503AE5"/>
    <w:rsid w:val="00505B4E"/>
    <w:rsid w:val="00520D01"/>
    <w:rsid w:val="005262B0"/>
    <w:rsid w:val="0053305B"/>
    <w:rsid w:val="005458F1"/>
    <w:rsid w:val="00567EE5"/>
    <w:rsid w:val="00572244"/>
    <w:rsid w:val="00583E44"/>
    <w:rsid w:val="005C20AA"/>
    <w:rsid w:val="005C3DC1"/>
    <w:rsid w:val="005D4209"/>
    <w:rsid w:val="005E3807"/>
    <w:rsid w:val="005E611F"/>
    <w:rsid w:val="005F57F8"/>
    <w:rsid w:val="005F5A3A"/>
    <w:rsid w:val="006028AF"/>
    <w:rsid w:val="00603CF2"/>
    <w:rsid w:val="00615EF7"/>
    <w:rsid w:val="006215EC"/>
    <w:rsid w:val="00623378"/>
    <w:rsid w:val="0064046A"/>
    <w:rsid w:val="00650162"/>
    <w:rsid w:val="0065603B"/>
    <w:rsid w:val="0066590C"/>
    <w:rsid w:val="00682F3E"/>
    <w:rsid w:val="006B4120"/>
    <w:rsid w:val="006C1C25"/>
    <w:rsid w:val="006C548F"/>
    <w:rsid w:val="006D086F"/>
    <w:rsid w:val="006D233C"/>
    <w:rsid w:val="006E1295"/>
    <w:rsid w:val="006E1BB5"/>
    <w:rsid w:val="006E4CDE"/>
    <w:rsid w:val="006E7CDC"/>
    <w:rsid w:val="006F3C92"/>
    <w:rsid w:val="006F4A13"/>
    <w:rsid w:val="00702BF1"/>
    <w:rsid w:val="00703679"/>
    <w:rsid w:val="00705173"/>
    <w:rsid w:val="007107A1"/>
    <w:rsid w:val="0071538E"/>
    <w:rsid w:val="0071599C"/>
    <w:rsid w:val="0072212A"/>
    <w:rsid w:val="007267BC"/>
    <w:rsid w:val="00726A0D"/>
    <w:rsid w:val="007371E1"/>
    <w:rsid w:val="007374FA"/>
    <w:rsid w:val="00752E1D"/>
    <w:rsid w:val="00761B28"/>
    <w:rsid w:val="00761C9E"/>
    <w:rsid w:val="00772ED5"/>
    <w:rsid w:val="00774C4D"/>
    <w:rsid w:val="007777A3"/>
    <w:rsid w:val="00786C05"/>
    <w:rsid w:val="007903BD"/>
    <w:rsid w:val="0079779C"/>
    <w:rsid w:val="007B6C98"/>
    <w:rsid w:val="007B6F33"/>
    <w:rsid w:val="007C3EBD"/>
    <w:rsid w:val="007D3042"/>
    <w:rsid w:val="007D6241"/>
    <w:rsid w:val="007D6940"/>
    <w:rsid w:val="007E0737"/>
    <w:rsid w:val="007F00DD"/>
    <w:rsid w:val="007F2860"/>
    <w:rsid w:val="007F7679"/>
    <w:rsid w:val="00810313"/>
    <w:rsid w:val="00821E5E"/>
    <w:rsid w:val="00830349"/>
    <w:rsid w:val="00837F54"/>
    <w:rsid w:val="00862862"/>
    <w:rsid w:val="008716D8"/>
    <w:rsid w:val="00873143"/>
    <w:rsid w:val="008769DA"/>
    <w:rsid w:val="00884B93"/>
    <w:rsid w:val="0089048E"/>
    <w:rsid w:val="008948BD"/>
    <w:rsid w:val="00896DC9"/>
    <w:rsid w:val="008A137C"/>
    <w:rsid w:val="008A702D"/>
    <w:rsid w:val="008A72DC"/>
    <w:rsid w:val="008B148A"/>
    <w:rsid w:val="008C0C22"/>
    <w:rsid w:val="008F52B7"/>
    <w:rsid w:val="009050B5"/>
    <w:rsid w:val="00905DF7"/>
    <w:rsid w:val="0091017B"/>
    <w:rsid w:val="009224AA"/>
    <w:rsid w:val="009237C2"/>
    <w:rsid w:val="00936F44"/>
    <w:rsid w:val="0095700C"/>
    <w:rsid w:val="00975116"/>
    <w:rsid w:val="0097625A"/>
    <w:rsid w:val="0098750A"/>
    <w:rsid w:val="009C35F8"/>
    <w:rsid w:val="009C7F03"/>
    <w:rsid w:val="009F0086"/>
    <w:rsid w:val="00A03FE0"/>
    <w:rsid w:val="00A12DAD"/>
    <w:rsid w:val="00A1642B"/>
    <w:rsid w:val="00A24397"/>
    <w:rsid w:val="00A37457"/>
    <w:rsid w:val="00A376F6"/>
    <w:rsid w:val="00A45991"/>
    <w:rsid w:val="00A52B16"/>
    <w:rsid w:val="00A63C59"/>
    <w:rsid w:val="00A7070E"/>
    <w:rsid w:val="00A73707"/>
    <w:rsid w:val="00A74D4E"/>
    <w:rsid w:val="00A8563D"/>
    <w:rsid w:val="00A85A94"/>
    <w:rsid w:val="00A919AF"/>
    <w:rsid w:val="00A91B71"/>
    <w:rsid w:val="00A92429"/>
    <w:rsid w:val="00A96B3F"/>
    <w:rsid w:val="00AC11D8"/>
    <w:rsid w:val="00AC1F18"/>
    <w:rsid w:val="00AC59BC"/>
    <w:rsid w:val="00AE50D7"/>
    <w:rsid w:val="00AE69AC"/>
    <w:rsid w:val="00AF3C4B"/>
    <w:rsid w:val="00AF65D9"/>
    <w:rsid w:val="00B1642D"/>
    <w:rsid w:val="00B17318"/>
    <w:rsid w:val="00B31AB4"/>
    <w:rsid w:val="00B40221"/>
    <w:rsid w:val="00B52B11"/>
    <w:rsid w:val="00B5408E"/>
    <w:rsid w:val="00B6726B"/>
    <w:rsid w:val="00B677D9"/>
    <w:rsid w:val="00B87C1B"/>
    <w:rsid w:val="00BA0AAE"/>
    <w:rsid w:val="00BB1C79"/>
    <w:rsid w:val="00BB2F7B"/>
    <w:rsid w:val="00C20040"/>
    <w:rsid w:val="00C42C1B"/>
    <w:rsid w:val="00C70C6D"/>
    <w:rsid w:val="00C77F87"/>
    <w:rsid w:val="00C87EFE"/>
    <w:rsid w:val="00CA7720"/>
    <w:rsid w:val="00CB23FE"/>
    <w:rsid w:val="00CB6B1E"/>
    <w:rsid w:val="00CC44A2"/>
    <w:rsid w:val="00CC69A7"/>
    <w:rsid w:val="00CC7B7F"/>
    <w:rsid w:val="00CE0C31"/>
    <w:rsid w:val="00CF20FB"/>
    <w:rsid w:val="00D05C65"/>
    <w:rsid w:val="00D34CE8"/>
    <w:rsid w:val="00D63F03"/>
    <w:rsid w:val="00D676DE"/>
    <w:rsid w:val="00D70B4D"/>
    <w:rsid w:val="00D73B3B"/>
    <w:rsid w:val="00DA0B6B"/>
    <w:rsid w:val="00DA1400"/>
    <w:rsid w:val="00DA5866"/>
    <w:rsid w:val="00DB3324"/>
    <w:rsid w:val="00DC0401"/>
    <w:rsid w:val="00DC46FC"/>
    <w:rsid w:val="00DD2163"/>
    <w:rsid w:val="00DD2F9F"/>
    <w:rsid w:val="00DE4742"/>
    <w:rsid w:val="00DE67C0"/>
    <w:rsid w:val="00E00DB5"/>
    <w:rsid w:val="00E05E47"/>
    <w:rsid w:val="00E26FF9"/>
    <w:rsid w:val="00E276A9"/>
    <w:rsid w:val="00E3171B"/>
    <w:rsid w:val="00E31B1F"/>
    <w:rsid w:val="00E333CE"/>
    <w:rsid w:val="00E34A1A"/>
    <w:rsid w:val="00E548A5"/>
    <w:rsid w:val="00E711C9"/>
    <w:rsid w:val="00E74BD7"/>
    <w:rsid w:val="00E94902"/>
    <w:rsid w:val="00E96F3B"/>
    <w:rsid w:val="00EB744B"/>
    <w:rsid w:val="00ED0306"/>
    <w:rsid w:val="00ED08B2"/>
    <w:rsid w:val="00ED1936"/>
    <w:rsid w:val="00EF01EE"/>
    <w:rsid w:val="00F019D3"/>
    <w:rsid w:val="00F12E6E"/>
    <w:rsid w:val="00F4261C"/>
    <w:rsid w:val="00F43641"/>
    <w:rsid w:val="00F45713"/>
    <w:rsid w:val="00F5362B"/>
    <w:rsid w:val="00F71EF3"/>
    <w:rsid w:val="00F75573"/>
    <w:rsid w:val="00F815B7"/>
    <w:rsid w:val="00F868A8"/>
    <w:rsid w:val="00F87CD8"/>
    <w:rsid w:val="00F92FA6"/>
    <w:rsid w:val="00F934AF"/>
    <w:rsid w:val="00F944E1"/>
    <w:rsid w:val="00FA287E"/>
    <w:rsid w:val="00FC301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9358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304"/>
    <w:rPr>
      <w:rFonts w:eastAsiaTheme="minorHAnsi"/>
      <w:lang w:eastAsia="en-US"/>
    </w:rPr>
  </w:style>
  <w:style w:type="paragraph" w:styleId="Heading1">
    <w:name w:val="heading 1"/>
    <w:basedOn w:val="Normal"/>
    <w:next w:val="Normal"/>
    <w:link w:val="Heading1Char"/>
    <w:uiPriority w:val="9"/>
    <w:qFormat/>
    <w:rsid w:val="0015230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230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15EF7"/>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304"/>
    <w:rPr>
      <w:rFonts w:asciiTheme="majorHAnsi" w:eastAsiaTheme="majorEastAsia" w:hAnsiTheme="majorHAnsi" w:cstheme="majorBidi"/>
      <w:color w:val="2E74B5" w:themeColor="accent1" w:themeShade="BF"/>
      <w:sz w:val="32"/>
      <w:szCs w:val="32"/>
      <w:lang w:eastAsia="en-US"/>
    </w:rPr>
  </w:style>
  <w:style w:type="character" w:customStyle="1" w:styleId="Heading2Char">
    <w:name w:val="Heading 2 Char"/>
    <w:basedOn w:val="DefaultParagraphFont"/>
    <w:link w:val="Heading2"/>
    <w:uiPriority w:val="9"/>
    <w:rsid w:val="00152304"/>
    <w:rPr>
      <w:rFonts w:asciiTheme="majorHAnsi" w:eastAsiaTheme="majorEastAsia" w:hAnsiTheme="majorHAnsi" w:cstheme="majorBidi"/>
      <w:color w:val="2E74B5" w:themeColor="accent1" w:themeShade="BF"/>
      <w:sz w:val="26"/>
      <w:szCs w:val="26"/>
      <w:lang w:eastAsia="en-US"/>
    </w:rPr>
  </w:style>
  <w:style w:type="paragraph" w:styleId="Caption">
    <w:name w:val="caption"/>
    <w:basedOn w:val="Normal"/>
    <w:next w:val="Normal"/>
    <w:uiPriority w:val="35"/>
    <w:unhideWhenUsed/>
    <w:qFormat/>
    <w:rsid w:val="00E34A1A"/>
    <w:pPr>
      <w:spacing w:after="200"/>
    </w:pPr>
    <w:rPr>
      <w:i/>
      <w:iCs/>
      <w:color w:val="44546A" w:themeColor="text2"/>
      <w:sz w:val="18"/>
      <w:szCs w:val="18"/>
    </w:rPr>
  </w:style>
  <w:style w:type="character" w:customStyle="1" w:styleId="Heading3Char">
    <w:name w:val="Heading 3 Char"/>
    <w:basedOn w:val="DefaultParagraphFont"/>
    <w:link w:val="Heading3"/>
    <w:uiPriority w:val="9"/>
    <w:rsid w:val="00615EF7"/>
    <w:rPr>
      <w:rFonts w:asciiTheme="majorHAnsi" w:eastAsiaTheme="majorEastAsia" w:hAnsiTheme="majorHAnsi" w:cstheme="majorBidi"/>
      <w:color w:val="1F4D78" w:themeColor="accent1" w:themeShade="7F"/>
      <w:lang w:eastAsia="en-US"/>
    </w:rPr>
  </w:style>
  <w:style w:type="paragraph" w:styleId="BalloonText">
    <w:name w:val="Balloon Text"/>
    <w:basedOn w:val="Normal"/>
    <w:link w:val="BalloonTextChar"/>
    <w:uiPriority w:val="99"/>
    <w:semiHidden/>
    <w:unhideWhenUsed/>
    <w:rsid w:val="00B87C1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87C1B"/>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B87C1B"/>
    <w:rPr>
      <w:sz w:val="16"/>
      <w:szCs w:val="16"/>
    </w:rPr>
  </w:style>
  <w:style w:type="paragraph" w:styleId="CommentText">
    <w:name w:val="annotation text"/>
    <w:basedOn w:val="Normal"/>
    <w:link w:val="CommentTextChar"/>
    <w:uiPriority w:val="99"/>
    <w:semiHidden/>
    <w:unhideWhenUsed/>
    <w:rsid w:val="00B87C1B"/>
    <w:rPr>
      <w:sz w:val="20"/>
      <w:szCs w:val="20"/>
    </w:rPr>
  </w:style>
  <w:style w:type="character" w:customStyle="1" w:styleId="CommentTextChar">
    <w:name w:val="Comment Text Char"/>
    <w:basedOn w:val="DefaultParagraphFont"/>
    <w:link w:val="CommentText"/>
    <w:uiPriority w:val="99"/>
    <w:semiHidden/>
    <w:rsid w:val="00B87C1B"/>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B87C1B"/>
    <w:rPr>
      <w:b/>
      <w:bCs/>
    </w:rPr>
  </w:style>
  <w:style w:type="character" w:customStyle="1" w:styleId="CommentSubjectChar">
    <w:name w:val="Comment Subject Char"/>
    <w:basedOn w:val="CommentTextChar"/>
    <w:link w:val="CommentSubject"/>
    <w:uiPriority w:val="99"/>
    <w:semiHidden/>
    <w:rsid w:val="00B87C1B"/>
    <w:rPr>
      <w:rFonts w:eastAsiaTheme="minorHAnsi"/>
      <w:b/>
      <w:bCs/>
      <w:sz w:val="20"/>
      <w:szCs w:val="20"/>
      <w:lang w:eastAsia="en-US"/>
    </w:rPr>
  </w:style>
  <w:style w:type="paragraph" w:styleId="ListParagraph">
    <w:name w:val="List Paragraph"/>
    <w:basedOn w:val="Normal"/>
    <w:uiPriority w:val="34"/>
    <w:qFormat/>
    <w:rsid w:val="00B87C1B"/>
    <w:pPr>
      <w:ind w:left="720"/>
      <w:contextualSpacing/>
    </w:pPr>
  </w:style>
  <w:style w:type="paragraph" w:styleId="FootnoteText">
    <w:name w:val="footnote text"/>
    <w:basedOn w:val="Normal"/>
    <w:link w:val="FootnoteTextChar"/>
    <w:uiPriority w:val="99"/>
    <w:semiHidden/>
    <w:unhideWhenUsed/>
    <w:rsid w:val="00B87C1B"/>
    <w:rPr>
      <w:sz w:val="20"/>
      <w:szCs w:val="20"/>
    </w:rPr>
  </w:style>
  <w:style w:type="character" w:customStyle="1" w:styleId="FootnoteTextChar">
    <w:name w:val="Footnote Text Char"/>
    <w:basedOn w:val="DefaultParagraphFont"/>
    <w:link w:val="FootnoteText"/>
    <w:uiPriority w:val="99"/>
    <w:semiHidden/>
    <w:rsid w:val="00B87C1B"/>
    <w:rPr>
      <w:rFonts w:eastAsiaTheme="minorHAnsi"/>
      <w:sz w:val="20"/>
      <w:szCs w:val="20"/>
      <w:lang w:eastAsia="en-US"/>
    </w:rPr>
  </w:style>
  <w:style w:type="character" w:styleId="FootnoteReference">
    <w:name w:val="footnote reference"/>
    <w:basedOn w:val="DefaultParagraphFont"/>
    <w:uiPriority w:val="99"/>
    <w:semiHidden/>
    <w:unhideWhenUsed/>
    <w:rsid w:val="00B87C1B"/>
    <w:rPr>
      <w:vertAlign w:val="superscript"/>
    </w:rPr>
  </w:style>
  <w:style w:type="character" w:styleId="Hyperlink">
    <w:name w:val="Hyperlink"/>
    <w:basedOn w:val="DefaultParagraphFont"/>
    <w:uiPriority w:val="99"/>
    <w:unhideWhenUsed/>
    <w:rsid w:val="003F6E2E"/>
    <w:rPr>
      <w:color w:val="0563C1" w:themeColor="hyperlink"/>
      <w:u w:val="single"/>
    </w:rPr>
  </w:style>
  <w:style w:type="character" w:customStyle="1" w:styleId="UnresolvedMention1">
    <w:name w:val="Unresolved Mention1"/>
    <w:basedOn w:val="DefaultParagraphFont"/>
    <w:uiPriority w:val="99"/>
    <w:rsid w:val="003F6E2E"/>
    <w:rPr>
      <w:color w:val="605E5C"/>
      <w:shd w:val="clear" w:color="auto" w:fill="E1DFDD"/>
    </w:rPr>
  </w:style>
  <w:style w:type="table" w:styleId="TableGrid">
    <w:name w:val="Table Grid"/>
    <w:basedOn w:val="TableNormal"/>
    <w:uiPriority w:val="39"/>
    <w:rsid w:val="0003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584F"/>
    <w:pPr>
      <w:tabs>
        <w:tab w:val="center" w:pos="4680"/>
        <w:tab w:val="right" w:pos="9360"/>
      </w:tabs>
    </w:pPr>
  </w:style>
  <w:style w:type="character" w:customStyle="1" w:styleId="HeaderChar">
    <w:name w:val="Header Char"/>
    <w:basedOn w:val="DefaultParagraphFont"/>
    <w:link w:val="Header"/>
    <w:uiPriority w:val="99"/>
    <w:rsid w:val="0007584F"/>
    <w:rPr>
      <w:rFonts w:eastAsiaTheme="minorHAnsi"/>
      <w:lang w:eastAsia="en-US"/>
    </w:rPr>
  </w:style>
  <w:style w:type="paragraph" w:styleId="Footer">
    <w:name w:val="footer"/>
    <w:basedOn w:val="Normal"/>
    <w:link w:val="FooterChar"/>
    <w:uiPriority w:val="99"/>
    <w:unhideWhenUsed/>
    <w:rsid w:val="0007584F"/>
    <w:pPr>
      <w:tabs>
        <w:tab w:val="center" w:pos="4680"/>
        <w:tab w:val="right" w:pos="9360"/>
      </w:tabs>
    </w:pPr>
  </w:style>
  <w:style w:type="character" w:customStyle="1" w:styleId="FooterChar">
    <w:name w:val="Footer Char"/>
    <w:basedOn w:val="DefaultParagraphFont"/>
    <w:link w:val="Footer"/>
    <w:uiPriority w:val="99"/>
    <w:rsid w:val="0007584F"/>
    <w:rPr>
      <w:rFonts w:eastAsiaTheme="minorHAnsi"/>
      <w:lang w:eastAsia="en-US"/>
    </w:rPr>
  </w:style>
  <w:style w:type="paragraph" w:styleId="Revision">
    <w:name w:val="Revision"/>
    <w:hidden/>
    <w:uiPriority w:val="99"/>
    <w:semiHidden/>
    <w:rsid w:val="006F3C92"/>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1405">
      <w:bodyDiv w:val="1"/>
      <w:marLeft w:val="0"/>
      <w:marRight w:val="0"/>
      <w:marTop w:val="0"/>
      <w:marBottom w:val="0"/>
      <w:divBdr>
        <w:top w:val="none" w:sz="0" w:space="0" w:color="auto"/>
        <w:left w:val="none" w:sz="0" w:space="0" w:color="auto"/>
        <w:bottom w:val="none" w:sz="0" w:space="0" w:color="auto"/>
        <w:right w:val="none" w:sz="0" w:space="0" w:color="auto"/>
      </w:divBdr>
    </w:div>
    <w:div w:id="424616466">
      <w:bodyDiv w:val="1"/>
      <w:marLeft w:val="0"/>
      <w:marRight w:val="0"/>
      <w:marTop w:val="0"/>
      <w:marBottom w:val="0"/>
      <w:divBdr>
        <w:top w:val="none" w:sz="0" w:space="0" w:color="auto"/>
        <w:left w:val="none" w:sz="0" w:space="0" w:color="auto"/>
        <w:bottom w:val="none" w:sz="0" w:space="0" w:color="auto"/>
        <w:right w:val="none" w:sz="0" w:space="0" w:color="auto"/>
      </w:divBdr>
    </w:div>
    <w:div w:id="1138230088">
      <w:bodyDiv w:val="1"/>
      <w:marLeft w:val="0"/>
      <w:marRight w:val="0"/>
      <w:marTop w:val="0"/>
      <w:marBottom w:val="0"/>
      <w:divBdr>
        <w:top w:val="none" w:sz="0" w:space="0" w:color="auto"/>
        <w:left w:val="none" w:sz="0" w:space="0" w:color="auto"/>
        <w:bottom w:val="none" w:sz="0" w:space="0" w:color="auto"/>
        <w:right w:val="none" w:sz="0" w:space="0" w:color="auto"/>
      </w:divBdr>
    </w:div>
    <w:div w:id="14286943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pcancities.org.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gouldson@leeds.ac.uk"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2225</Words>
  <Characters>12687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Duncan</dc:creator>
  <cp:keywords/>
  <dc:description/>
  <cp:lastModifiedBy>Andy Gouldson</cp:lastModifiedBy>
  <cp:revision>6</cp:revision>
  <dcterms:created xsi:type="dcterms:W3CDTF">2020-09-11T13:56:00Z</dcterms:created>
  <dcterms:modified xsi:type="dcterms:W3CDTF">2020-09-11T14:31:00Z</dcterms:modified>
</cp:coreProperties>
</file>